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1" w:lineRule="atLeast"/>
        <w:ind w:left="0" w:right="0"/>
        <w:rPr>
          <w:b/>
          <w:bCs/>
          <w:sz w:val="33"/>
          <w:szCs w:val="33"/>
        </w:rPr>
      </w:pPr>
      <w:r>
        <w:rPr>
          <w:b/>
          <w:bCs/>
          <w:sz w:val="33"/>
          <w:szCs w:val="33"/>
          <w:bdr w:val="none" w:color="auto" w:sz="0" w:space="0"/>
        </w:rPr>
        <w:t>《建筑节能与可再生能源利用通用规范》常见</w:t>
      </w:r>
      <w:bookmarkStart w:id="0" w:name="_GoBack"/>
      <w:bookmarkEnd w:id="0"/>
      <w:r>
        <w:rPr>
          <w:b/>
          <w:bCs/>
          <w:sz w:val="33"/>
          <w:szCs w:val="33"/>
          <w:bdr w:val="none" w:color="auto" w:sz="0" w:space="0"/>
        </w:rPr>
        <w:t>问题解析</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30" w:afterAutospacing="0" w:line="300" w:lineRule="atLeast"/>
        <w:ind w:left="0" w:right="0"/>
        <w:jc w:val="left"/>
        <w:rPr>
          <w:sz w:val="0"/>
          <w:szCs w:val="0"/>
        </w:rPr>
      </w:pPr>
      <w:r>
        <w:rPr>
          <w:rFonts w:ascii="宋体" w:hAnsi="宋体" w:eastAsia="宋体" w:cs="宋体"/>
          <w:kern w:val="0"/>
          <w:sz w:val="22"/>
          <w:szCs w:val="22"/>
          <w:bdr w:val="none" w:color="auto" w:sz="0" w:space="0"/>
          <w:lang w:val="en-US" w:eastAsia="zh-CN" w:bidi="ar"/>
        </w:rPr>
        <w:t>胡晓蕾</w:t>
      </w:r>
      <w:r>
        <w:rPr>
          <w:rFonts w:ascii="宋体" w:hAnsi="宋体" w:eastAsia="宋体" w:cs="宋体"/>
          <w:kern w:val="0"/>
          <w:sz w:val="0"/>
          <w:szCs w:val="0"/>
          <w:bdr w:val="none" w:color="auto" w:sz="0" w:space="0"/>
          <w:lang w:val="en-US" w:eastAsia="zh-CN" w:bidi="ar"/>
        </w:rPr>
        <w:t> </w:t>
      </w:r>
      <w:r>
        <w:rPr>
          <w:rFonts w:ascii="宋体" w:hAnsi="宋体" w:eastAsia="宋体" w:cs="宋体"/>
          <w:color w:val="576B95"/>
          <w:kern w:val="0"/>
          <w:sz w:val="22"/>
          <w:szCs w:val="22"/>
          <w:u w:val="none"/>
          <w:bdr w:val="none" w:color="auto" w:sz="0" w:space="0"/>
          <w:lang w:val="en-US" w:eastAsia="zh-CN" w:bidi="ar"/>
        </w:rPr>
        <w:fldChar w:fldCharType="begin"/>
      </w:r>
      <w:r>
        <w:rPr>
          <w:rFonts w:ascii="宋体" w:hAnsi="宋体" w:eastAsia="宋体" w:cs="宋体"/>
          <w:color w:val="576B95"/>
          <w:kern w:val="0"/>
          <w:sz w:val="22"/>
          <w:szCs w:val="22"/>
          <w:u w:val="none"/>
          <w:bdr w:val="none" w:color="auto" w:sz="0" w:space="0"/>
          <w:lang w:val="en-US" w:eastAsia="zh-CN" w:bidi="ar"/>
        </w:rPr>
        <w:instrText xml:space="preserve"> HYPERLINK "javascript:void(0);" </w:instrText>
      </w:r>
      <w:r>
        <w:rPr>
          <w:rFonts w:ascii="宋体" w:hAnsi="宋体" w:eastAsia="宋体" w:cs="宋体"/>
          <w:color w:val="576B95"/>
          <w:kern w:val="0"/>
          <w:sz w:val="22"/>
          <w:szCs w:val="22"/>
          <w:u w:val="none"/>
          <w:bdr w:val="none" w:color="auto" w:sz="0" w:space="0"/>
          <w:lang w:val="en-US" w:eastAsia="zh-CN" w:bidi="ar"/>
        </w:rPr>
        <w:fldChar w:fldCharType="separate"/>
      </w:r>
      <w:r>
        <w:rPr>
          <w:rStyle w:val="10"/>
          <w:rFonts w:ascii="宋体" w:hAnsi="宋体" w:eastAsia="宋体" w:cs="宋体"/>
          <w:color w:val="576B95"/>
          <w:sz w:val="22"/>
          <w:szCs w:val="22"/>
          <w:u w:val="none"/>
          <w:bdr w:val="none" w:color="auto" w:sz="0" w:space="0"/>
        </w:rPr>
        <w:t>PKPM构力科技</w:t>
      </w:r>
      <w:r>
        <w:rPr>
          <w:rFonts w:ascii="宋体" w:hAnsi="宋体" w:eastAsia="宋体" w:cs="宋体"/>
          <w:color w:val="576B95"/>
          <w:kern w:val="0"/>
          <w:sz w:val="22"/>
          <w:szCs w:val="22"/>
          <w:u w:val="none"/>
          <w:bdr w:val="none" w:color="auto" w:sz="0" w:space="0"/>
          <w:lang w:val="en-US" w:eastAsia="zh-CN" w:bidi="ar"/>
        </w:rPr>
        <w:fldChar w:fldCharType="end"/>
      </w:r>
      <w:r>
        <w:rPr>
          <w:rFonts w:ascii="宋体" w:hAnsi="宋体" w:eastAsia="宋体" w:cs="宋体"/>
          <w:kern w:val="0"/>
          <w:sz w:val="0"/>
          <w:szCs w:val="0"/>
          <w:bdr w:val="none" w:color="auto" w:sz="0" w:space="0"/>
          <w:lang w:val="en-US" w:eastAsia="zh-CN" w:bidi="ar"/>
        </w:rPr>
        <w:t> </w:t>
      </w:r>
      <w:r>
        <w:rPr>
          <w:rStyle w:val="9"/>
          <w:rFonts w:ascii="宋体" w:hAnsi="宋体" w:eastAsia="宋体" w:cs="宋体"/>
          <w:i w:val="0"/>
          <w:iCs w:val="0"/>
          <w:kern w:val="0"/>
          <w:sz w:val="22"/>
          <w:szCs w:val="22"/>
          <w:bdr w:val="none" w:color="auto" w:sz="0" w:space="0"/>
          <w:lang w:val="en-US" w:eastAsia="zh-CN" w:bidi="ar"/>
        </w:rPr>
        <w:t>2022-03-24 17:00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pacing w:val="8"/>
        </w:rPr>
      </w:pPr>
      <w:r>
        <w:rPr>
          <w:rFonts w:ascii="微软雅黑" w:hAnsi="微软雅黑" w:eastAsia="微软雅黑" w:cs="微软雅黑"/>
          <w:color w:val="888888"/>
          <w:spacing w:val="8"/>
          <w:sz w:val="21"/>
          <w:szCs w:val="21"/>
          <w:bdr w:val="none" w:color="auto" w:sz="0" w:space="0"/>
        </w:rPr>
        <w:t>▲ 点击上方蓝字，关注PKPM构力科技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rPr>
          <w:rFonts w:hint="eastAsia" w:ascii="微软雅黑" w:hAnsi="微软雅黑" w:eastAsia="微软雅黑" w:cs="微软雅黑"/>
          <w:color w:val="222222"/>
          <w:spacing w:val="8"/>
          <w:sz w:val="24"/>
          <w:szCs w:val="24"/>
        </w:rPr>
      </w:pPr>
      <w:r>
        <w:rPr>
          <w:rFonts w:hint="eastAsia" w:ascii="微软雅黑" w:hAnsi="微软雅黑" w:eastAsia="微软雅黑" w:cs="微软雅黑"/>
          <w:color w:val="222222"/>
          <w:spacing w:val="8"/>
          <w:sz w:val="24"/>
          <w:szCs w:val="24"/>
          <w:bdr w:val="none" w:color="auto" w:sz="0" w:space="0"/>
          <w:shd w:val="clear" w:fill="FFFFFF"/>
        </w:rPr>
        <w:drawing>
          <wp:inline distT="0" distB="0" distL="114300" distR="114300">
            <wp:extent cx="5382895" cy="1390015"/>
            <wp:effectExtent l="0" t="0" r="8255" b="635"/>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5"/>
                    <a:stretch>
                      <a:fillRect/>
                    </a:stretch>
                  </pic:blipFill>
                  <pic:spPr>
                    <a:xfrm>
                      <a:off x="0" y="0"/>
                      <a:ext cx="5382895" cy="139001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下一个月就要执行《建筑节能与可再生能源利用通用规范》了，你学习了吗？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随着时间的邻近，设计师在使用的时候遇到一些问题，本文就常问的一些条文理解方面给出解释，主要来源于标准条文说明和编制组答复。以下我们共同来学习一下吧！</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问题一</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Style w:val="8"/>
          <w:color w:val="222222"/>
          <w:sz w:val="25"/>
          <w:szCs w:val="25"/>
          <w:bdr w:val="none" w:color="auto" w:sz="0" w:space="0"/>
        </w:rPr>
        <w:t>该标准中所有条文都是强制执行的么？若地标中一些条文与该标准中条文不符应怎样判定？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答：</w:t>
      </w:r>
      <w:r>
        <w:rPr>
          <w:color w:val="222222"/>
          <w:sz w:val="25"/>
          <w:szCs w:val="25"/>
          <w:bdr w:val="none" w:color="auto" w:sz="0" w:space="0"/>
        </w:rPr>
        <w:t>该标准中所有条文强制执行，现行标准中与该标准中条文有差距时，执行本标准规定。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222222"/>
          <w:sz w:val="25"/>
          <w:szCs w:val="25"/>
        </w:rPr>
      </w:pPr>
      <w:r>
        <w:rPr>
          <w:rFonts w:ascii="宋体" w:hAnsi="宋体" w:eastAsia="宋体" w:cs="宋体"/>
          <w:color w:val="222222"/>
          <w:kern w:val="0"/>
          <w:sz w:val="25"/>
          <w:szCs w:val="25"/>
          <w:bdr w:val="none" w:color="auto" w:sz="0" w:space="0"/>
          <w:lang w:val="en-US" w:eastAsia="zh-CN" w:bidi="ar"/>
        </w:rPr>
        <w:drawing>
          <wp:inline distT="0" distB="0" distL="114300" distR="114300">
            <wp:extent cx="5372100" cy="1492885"/>
            <wp:effectExtent l="0" t="0" r="0" b="12065"/>
            <wp:docPr id="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1"/>
                    </pic:cNvPicPr>
                  </pic:nvPicPr>
                  <pic:blipFill>
                    <a:blip r:embed="rId6"/>
                    <a:stretch>
                      <a:fillRect/>
                    </a:stretch>
                  </pic:blipFill>
                  <pic:spPr>
                    <a:xfrm>
                      <a:off x="0" y="0"/>
                      <a:ext cx="5372100" cy="149288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问题二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Style w:val="8"/>
          <w:color w:val="222222"/>
          <w:sz w:val="25"/>
          <w:szCs w:val="25"/>
          <w:bdr w:val="none" w:color="auto" w:sz="0" w:space="0"/>
        </w:rPr>
        <w:t>本规范的适用范围是什么，哪些建筑不执行该标准？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答：</w:t>
      </w:r>
    </w:p>
    <w:p>
      <w:pPr>
        <w:keepNext w:val="0"/>
        <w:keepLines w:val="0"/>
        <w:widowControl/>
        <w:suppressLineNumbers w:val="0"/>
        <w:spacing w:before="0" w:beforeAutospacing="0" w:after="0" w:afterAutospacing="0"/>
        <w:ind w:left="0" w:right="0"/>
        <w:jc w:val="left"/>
      </w:pPr>
      <w:r>
        <w:rPr>
          <w:rFonts w:ascii="宋体" w:hAnsi="宋体" w:eastAsia="宋体" w:cs="宋体"/>
          <w:color w:val="222222"/>
          <w:kern w:val="0"/>
          <w:sz w:val="25"/>
          <w:szCs w:val="25"/>
          <w:bdr w:val="none" w:color="auto" w:sz="0" w:space="0"/>
          <w:lang w:val="en-US" w:eastAsia="zh-CN" w:bidi="ar"/>
        </w:rPr>
        <w:drawing>
          <wp:inline distT="0" distB="0" distL="114300" distR="114300">
            <wp:extent cx="5430520" cy="898525"/>
            <wp:effectExtent l="0" t="0" r="17780" b="15875"/>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7"/>
                    <a:stretch>
                      <a:fillRect/>
                    </a:stretch>
                  </pic:blipFill>
                  <pic:spPr>
                    <a:xfrm>
                      <a:off x="0" y="0"/>
                      <a:ext cx="5430520" cy="89852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►适用：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民用建筑、工业建筑——新建、改建、扩建；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既有建筑改造。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►不适用：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没有设置供暖、空调系统的工业建筑；</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战争、自然灾害等不可抗条件下对建筑节能与可再生能源利用的要求。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►不强制：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适用限期为两年以下的临时建筑，可参考执行。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问题三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Style w:val="8"/>
          <w:color w:val="222222"/>
          <w:sz w:val="25"/>
          <w:szCs w:val="25"/>
          <w:bdr w:val="none" w:color="auto" w:sz="0" w:space="0"/>
        </w:rPr>
        <w:t>2.0.1条中说的能耗指标对比的基准是2016年执行的节能标准，这里的节能标准指的是什么。能耗水平要求降低30%和20%是每个建筑的指标要求么？</w:t>
      </w:r>
    </w:p>
    <w:p>
      <w:pPr>
        <w:keepNext w:val="0"/>
        <w:keepLines w:val="0"/>
        <w:widowControl/>
        <w:suppressLineNumbers w:val="0"/>
        <w:spacing w:before="0" w:beforeAutospacing="0" w:after="0" w:afterAutospacing="0"/>
        <w:ind w:left="0" w:right="0"/>
        <w:jc w:val="left"/>
      </w:pPr>
      <w:r>
        <w:rPr>
          <w:rFonts w:ascii="宋体" w:hAnsi="宋体" w:eastAsia="宋体" w:cs="宋体"/>
          <w:color w:val="222222"/>
          <w:kern w:val="0"/>
          <w:sz w:val="25"/>
          <w:szCs w:val="25"/>
          <w:bdr w:val="none" w:color="auto" w:sz="0" w:space="0"/>
          <w:lang w:val="en-US" w:eastAsia="zh-CN" w:bidi="ar"/>
        </w:rPr>
        <w:drawing>
          <wp:inline distT="0" distB="0" distL="114300" distR="114300">
            <wp:extent cx="5239385" cy="1960245"/>
            <wp:effectExtent l="0" t="0" r="18415" b="1905"/>
            <wp:docPr id="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IMG_259"/>
                    <pic:cNvPicPr>
                      <a:picLocks noChangeAspect="1"/>
                    </pic:cNvPicPr>
                  </pic:nvPicPr>
                  <pic:blipFill>
                    <a:blip r:embed="rId8"/>
                    <a:stretch>
                      <a:fillRect/>
                    </a:stretch>
                  </pic:blipFill>
                  <pic:spPr>
                    <a:xfrm>
                      <a:off x="0" y="0"/>
                      <a:ext cx="5239385" cy="196024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答：</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Style w:val="8"/>
          <w:color w:val="222222"/>
          <w:sz w:val="25"/>
          <w:szCs w:val="25"/>
          <w:bdr w:val="none" w:color="auto" w:sz="0" w:space="0"/>
        </w:rPr>
        <w:t>①2016年执行基准标准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本规范对新建建筑节能水平的衡量是以2016年执行的建筑节能设计标准的节能水平为基准，在此基础上，居住建筑设计能耗再降低30%，公共建筑能耗再降低20%。这是执行本标准各项技术要求后全国范围建筑设计能耗的总体水平。</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2016年执行的国家和行业节能设计标准及节能率如下：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《严寒和寒冷居住建筑节能设计标准》JGJ26-2010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——节能率：65%——通用规范节能率：75%</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《夏热冬冷地区居住建筑节能设计标准》JGJ134-2010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——节能率：50%——通用规范节能率：65%</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《夏热冬暖地区居住建筑节能设计标准》JGJ75-2012</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——节能率：50%——通用规范节能率：65%</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《公共建筑节能设计标准》GB50189-2015——65%</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——节能率：65%——通用规范节能率：72%</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温和地区：参照云贵两省常用建筑构造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Style w:val="8"/>
          <w:color w:val="222222"/>
          <w:sz w:val="25"/>
          <w:szCs w:val="25"/>
          <w:bdr w:val="none" w:color="auto" w:sz="0" w:space="0"/>
        </w:rPr>
        <w:t>②能耗对比基准的变动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本标准一个比较大的变动是能耗对比基准由以我国20世纪80年代建筑能耗水平为基准的静态节能率方式，转换为以标准实施的年代版本为基础的统称，量化提高的程度，用相对上一版本的相对节能率描述。因此本标准的能耗对比的基准不再是一个确定的数值，而是以2016年为基准，而2016年的确定是以“十二五”向“十三五”建筑节能工作转化的一个重要时间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如此变动的原因主要基于以下几点考量：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●我国地域广大，气候差异大，若要达到相同的节能率水平，技术难度和实施成本巨大，且各地静态节能率的水平不同步。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●空调和生活热水逐渐成为南方建筑能耗的主要组成部分。但是80年代的主要以北方供暖能耗为主，南方这部分能耗没有基线数据作为量化比较的基准。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●采用静态节能率的描述方式，提升的空间量化显示度将越来越小，不利于观测。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Style w:val="8"/>
          <w:color w:val="222222"/>
          <w:sz w:val="25"/>
          <w:szCs w:val="25"/>
          <w:bdr w:val="none" w:color="auto" w:sz="0" w:space="0"/>
        </w:rPr>
        <w:t>③30%和20%的含义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这里要求的能耗指标降低30%和20%，并不能作为单一工程节能水平的判断依据，是为了给政府部门政策指定和发布提供数据，并不针对单一工程项目，指的是标准实施后，全国范围内新进建筑的能耗水平。在做建筑设计时只需要满足标准中相关的核心条文即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附录A.0.1也是一样的原则，表中的能耗指标不作为单一建筑指标的判断合规依据。</w:t>
      </w:r>
    </w:p>
    <w:p>
      <w:pPr>
        <w:keepNext w:val="0"/>
        <w:keepLines w:val="0"/>
        <w:widowControl/>
        <w:suppressLineNumbers w:val="0"/>
        <w:spacing w:before="0" w:beforeAutospacing="0" w:after="0" w:afterAutospacing="0"/>
        <w:ind w:left="0" w:right="0"/>
        <w:jc w:val="left"/>
      </w:pPr>
      <w:r>
        <w:rPr>
          <w:rFonts w:ascii="宋体" w:hAnsi="宋体" w:eastAsia="宋体" w:cs="宋体"/>
          <w:color w:val="222222"/>
          <w:kern w:val="0"/>
          <w:sz w:val="25"/>
          <w:szCs w:val="25"/>
          <w:bdr w:val="none" w:color="auto" w:sz="0" w:space="0"/>
          <w:lang w:val="en-US" w:eastAsia="zh-CN" w:bidi="ar"/>
        </w:rPr>
        <w:drawing>
          <wp:inline distT="0" distB="0" distL="114300" distR="114300">
            <wp:extent cx="5602605" cy="4498340"/>
            <wp:effectExtent l="0" t="0" r="17145" b="16510"/>
            <wp:docPr id="2"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IMG_260"/>
                    <pic:cNvPicPr>
                      <a:picLocks noChangeAspect="1"/>
                    </pic:cNvPicPr>
                  </pic:nvPicPr>
                  <pic:blipFill>
                    <a:blip r:embed="rId9"/>
                    <a:stretch>
                      <a:fillRect/>
                    </a:stretch>
                  </pic:blipFill>
                  <pic:spPr>
                    <a:xfrm>
                      <a:off x="0" y="0"/>
                      <a:ext cx="5602605" cy="449834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问题四</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Style w:val="8"/>
          <w:color w:val="222222"/>
          <w:sz w:val="25"/>
          <w:szCs w:val="25"/>
          <w:bdr w:val="none" w:color="auto" w:sz="0" w:space="0"/>
        </w:rPr>
        <w:t>2.0.3条规定的碳排放指标7kgco2/(㎡*a)和比例降低40%，公居建如何区分？</w:t>
      </w:r>
    </w:p>
    <w:p>
      <w:pPr>
        <w:keepNext w:val="0"/>
        <w:keepLines w:val="0"/>
        <w:widowControl/>
        <w:suppressLineNumbers w:val="0"/>
        <w:spacing w:before="0" w:beforeAutospacing="0" w:after="0" w:afterAutospacing="0"/>
        <w:ind w:left="0" w:right="0"/>
        <w:jc w:val="left"/>
      </w:pPr>
      <w:r>
        <w:rPr>
          <w:rFonts w:ascii="宋体" w:hAnsi="宋体" w:eastAsia="宋体" w:cs="宋体"/>
          <w:color w:val="222222"/>
          <w:kern w:val="0"/>
          <w:sz w:val="25"/>
          <w:szCs w:val="25"/>
          <w:lang w:val="en-US" w:eastAsia="zh-CN" w:bidi="ar"/>
        </w:rPr>
        <w:drawing>
          <wp:inline distT="0" distB="0" distL="114300" distR="114300">
            <wp:extent cx="5548630" cy="917575"/>
            <wp:effectExtent l="0" t="0" r="13970" b="15875"/>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10"/>
                    <a:stretch>
                      <a:fillRect/>
                    </a:stretch>
                  </pic:blipFill>
                  <pic:spPr>
                    <a:xfrm>
                      <a:off x="0" y="0"/>
                      <a:ext cx="5548630" cy="91757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答：</w:t>
      </w:r>
      <w:r>
        <w:rPr>
          <w:color w:val="222222"/>
          <w:sz w:val="25"/>
          <w:szCs w:val="25"/>
          <w:bdr w:val="none" w:color="auto" w:sz="0" w:space="0"/>
        </w:rPr>
        <w:t>建筑作为用能终端，其能源消耗占全社会能源消耗的20%左右。</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根据电力、煤炭、燃气等能源碳排放因子，对本规范的减碳效果进行了计算评估，以便反应建筑技能标准提升后对我国建筑碳排放降低的贡献。其中居住建筑的平均碳排放强度下降6.8kgCO</w:t>
      </w:r>
      <w:r>
        <w:rPr>
          <w:color w:val="222222"/>
          <w:sz w:val="18"/>
          <w:szCs w:val="18"/>
          <w:bdr w:val="none" w:color="auto" w:sz="0" w:space="0"/>
          <w:vertAlign w:val="subscript"/>
        </w:rPr>
        <w:t>2</w:t>
      </w:r>
      <w:r>
        <w:rPr>
          <w:color w:val="222222"/>
          <w:sz w:val="25"/>
          <w:szCs w:val="25"/>
          <w:bdr w:val="none" w:color="auto" w:sz="0" w:space="0"/>
        </w:rPr>
        <w:t>/(㎡*a)，公共建筑平均碳排放强度下降10.5kgCO</w:t>
      </w:r>
      <w:r>
        <w:rPr>
          <w:color w:val="222222"/>
          <w:sz w:val="18"/>
          <w:szCs w:val="18"/>
          <w:bdr w:val="none" w:color="auto" w:sz="0" w:space="0"/>
          <w:vertAlign w:val="subscript"/>
        </w:rPr>
        <w:t>2</w:t>
      </w:r>
      <w:r>
        <w:rPr>
          <w:color w:val="222222"/>
          <w:sz w:val="25"/>
          <w:szCs w:val="25"/>
          <w:bdr w:val="none" w:color="auto" w:sz="0" w:space="0"/>
        </w:rPr>
        <w:t>/(㎡*a)。</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7kgCO</w:t>
      </w:r>
      <w:r>
        <w:rPr>
          <w:color w:val="222222"/>
          <w:sz w:val="18"/>
          <w:szCs w:val="18"/>
          <w:bdr w:val="none" w:color="auto" w:sz="0" w:space="0"/>
          <w:vertAlign w:val="subscript"/>
        </w:rPr>
        <w:t>2</w:t>
      </w:r>
      <w:r>
        <w:rPr>
          <w:color w:val="222222"/>
          <w:sz w:val="25"/>
          <w:szCs w:val="25"/>
          <w:bdr w:val="none" w:color="auto" w:sz="0" w:space="0"/>
        </w:rPr>
        <w:t>/(㎡*a)作为一个全国水平的平均值。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问题五</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Style w:val="8"/>
          <w:color w:val="222222"/>
          <w:sz w:val="25"/>
          <w:szCs w:val="25"/>
          <w:bdr w:val="none" w:color="auto" w:sz="0" w:space="0"/>
        </w:rPr>
        <w:t>该标准中哪些条文可以权衡，哪些不能权衡？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答：</w:t>
      </w:r>
    </w:p>
    <w:p>
      <w:pPr>
        <w:keepNext w:val="0"/>
        <w:keepLines w:val="0"/>
        <w:widowControl/>
        <w:suppressLineNumbers w:val="0"/>
        <w:spacing w:before="0" w:beforeAutospacing="0" w:after="0" w:afterAutospacing="0"/>
        <w:ind w:left="0" w:right="0"/>
        <w:jc w:val="left"/>
      </w:pPr>
      <w:r>
        <w:rPr>
          <w:rFonts w:ascii="宋体" w:hAnsi="宋体" w:eastAsia="宋体" w:cs="宋体"/>
          <w:color w:val="222222"/>
          <w:kern w:val="0"/>
          <w:sz w:val="25"/>
          <w:szCs w:val="25"/>
          <w:lang w:val="en-US" w:eastAsia="zh-CN" w:bidi="ar"/>
        </w:rPr>
        <w:drawing>
          <wp:inline distT="0" distB="0" distL="114300" distR="114300">
            <wp:extent cx="5506720" cy="1211580"/>
            <wp:effectExtent l="0" t="0" r="17780" b="7620"/>
            <wp:docPr id="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2"/>
                    <pic:cNvPicPr>
                      <a:picLocks noChangeAspect="1"/>
                    </pic:cNvPicPr>
                  </pic:nvPicPr>
                  <pic:blipFill>
                    <a:blip r:embed="rId11"/>
                    <a:stretch>
                      <a:fillRect/>
                    </a:stretch>
                  </pic:blipFill>
                  <pic:spPr>
                    <a:xfrm>
                      <a:off x="0" y="0"/>
                      <a:ext cx="5506720" cy="121158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下表中列出了可权衡与不可权衡的条文要求，当不满足标准中给定的限值时，可权衡条文可以进一步通过权衡来达标，而不可权衡条文必须通过修改建筑方案或材料使其达到标准要求方可。</w:t>
      </w:r>
    </w:p>
    <w:p>
      <w:pPr>
        <w:keepNext w:val="0"/>
        <w:keepLines w:val="0"/>
        <w:widowControl/>
        <w:suppressLineNumbers w:val="0"/>
        <w:spacing w:before="0" w:beforeAutospacing="0" w:after="0" w:afterAutospacing="0"/>
        <w:ind w:left="0" w:right="0"/>
        <w:jc w:val="left"/>
      </w:pPr>
      <w:r>
        <w:rPr>
          <w:rFonts w:ascii="宋体" w:hAnsi="宋体" w:eastAsia="宋体" w:cs="宋体"/>
          <w:color w:val="222222"/>
          <w:kern w:val="0"/>
          <w:sz w:val="25"/>
          <w:szCs w:val="25"/>
          <w:bdr w:val="none" w:color="auto" w:sz="0" w:space="0"/>
          <w:lang w:val="en-US" w:eastAsia="zh-CN" w:bidi="ar"/>
        </w:rPr>
        <w:drawing>
          <wp:inline distT="0" distB="0" distL="114300" distR="114300">
            <wp:extent cx="5400675" cy="2466975"/>
            <wp:effectExtent l="0" t="0" r="9525" b="9525"/>
            <wp:docPr id="8"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63"/>
                    <pic:cNvPicPr>
                      <a:picLocks noChangeAspect="1"/>
                    </pic:cNvPicPr>
                  </pic:nvPicPr>
                  <pic:blipFill>
                    <a:blip r:embed="rId12"/>
                    <a:stretch>
                      <a:fillRect/>
                    </a:stretch>
                  </pic:blipFill>
                  <pic:spPr>
                    <a:xfrm>
                      <a:off x="0" y="0"/>
                      <a:ext cx="5400675" cy="246697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问题六</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Style w:val="8"/>
          <w:color w:val="222222"/>
          <w:sz w:val="25"/>
          <w:szCs w:val="25"/>
          <w:bdr w:val="none" w:color="auto" w:sz="0" w:space="0"/>
        </w:rPr>
        <w:t>体形系数的要求及计算规则变动。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答：</w:t>
      </w:r>
    </w:p>
    <w:p>
      <w:pPr>
        <w:keepNext w:val="0"/>
        <w:keepLines w:val="0"/>
        <w:widowControl/>
        <w:suppressLineNumbers w:val="0"/>
        <w:spacing w:before="0" w:beforeAutospacing="0" w:after="0" w:afterAutospacing="0"/>
        <w:ind w:left="0" w:right="0"/>
        <w:jc w:val="left"/>
      </w:pPr>
      <w:r>
        <w:rPr>
          <w:rFonts w:ascii="宋体" w:hAnsi="宋体" w:eastAsia="宋体" w:cs="宋体"/>
          <w:color w:val="222222"/>
          <w:kern w:val="0"/>
          <w:sz w:val="25"/>
          <w:szCs w:val="25"/>
          <w:bdr w:val="none" w:color="auto" w:sz="0" w:space="0"/>
          <w:lang w:val="en-US" w:eastAsia="zh-CN" w:bidi="ar"/>
        </w:rPr>
        <w:drawing>
          <wp:inline distT="0" distB="0" distL="114300" distR="114300">
            <wp:extent cx="5191125" cy="2514600"/>
            <wp:effectExtent l="0" t="0" r="9525" b="0"/>
            <wp:docPr id="9"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64"/>
                    <pic:cNvPicPr>
                      <a:picLocks noChangeAspect="1"/>
                    </pic:cNvPicPr>
                  </pic:nvPicPr>
                  <pic:blipFill>
                    <a:blip r:embed="rId13"/>
                    <a:stretch>
                      <a:fillRect/>
                    </a:stretch>
                  </pic:blipFill>
                  <pic:spPr>
                    <a:xfrm>
                      <a:off x="0" y="0"/>
                      <a:ext cx="5191125" cy="2514600"/>
                    </a:xfrm>
                    <a:prstGeom prst="rect">
                      <a:avLst/>
                    </a:prstGeom>
                    <a:noFill/>
                    <a:ln w="9525">
                      <a:noFill/>
                    </a:ln>
                  </pic:spPr>
                </pic:pic>
              </a:graphicData>
            </a:graphic>
          </wp:inline>
        </w:drawing>
      </w:r>
      <w:r>
        <w:rPr>
          <w:rFonts w:ascii="宋体" w:hAnsi="宋体" w:eastAsia="宋体" w:cs="宋体"/>
          <w:color w:val="222222"/>
          <w:kern w:val="0"/>
          <w:sz w:val="25"/>
          <w:szCs w:val="25"/>
          <w:bdr w:val="none" w:color="auto" w:sz="0" w:space="0"/>
          <w:lang w:val="en-US" w:eastAsia="zh-CN" w:bidi="ar"/>
        </w:rPr>
        <w:drawing>
          <wp:inline distT="0" distB="0" distL="114300" distR="114300">
            <wp:extent cx="5192395" cy="1177925"/>
            <wp:effectExtent l="0" t="0" r="8255" b="3175"/>
            <wp:docPr id="10"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65"/>
                    <pic:cNvPicPr>
                      <a:picLocks noChangeAspect="1"/>
                    </pic:cNvPicPr>
                  </pic:nvPicPr>
                  <pic:blipFill>
                    <a:blip r:embed="rId14"/>
                    <a:stretch>
                      <a:fillRect/>
                    </a:stretch>
                  </pic:blipFill>
                  <pic:spPr>
                    <a:xfrm>
                      <a:off x="0" y="0"/>
                      <a:ext cx="5192395" cy="117792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pPr>
      <w:r>
        <w:rPr>
          <w:rStyle w:val="8"/>
          <w:color w:val="222222"/>
          <w:sz w:val="25"/>
          <w:szCs w:val="25"/>
          <w:bdr w:val="none" w:color="auto" w:sz="0" w:space="0"/>
        </w:rPr>
        <w:t>►居建体形系数：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不满足</w:t>
      </w:r>
      <w:r>
        <w:rPr>
          <w:color w:val="D51824"/>
          <w:sz w:val="25"/>
          <w:szCs w:val="25"/>
          <w:bdr w:val="none" w:color="auto" w:sz="0" w:space="0"/>
        </w:rPr>
        <w:t>可权衡</w:t>
      </w:r>
      <w:r>
        <w:rPr>
          <w:color w:val="3E3E3E"/>
          <w:sz w:val="25"/>
          <w:szCs w:val="25"/>
          <w:bdr w:val="none" w:color="auto" w:sz="0" w:space="0"/>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外表面积计算——不包含地面和不供暖楼梯间内墙的面积。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建筑面积——按照各层外墙外包线围成的平面面积的总和计算。包括半地下室面积，不包括地下室面积。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pPr>
      <w:r>
        <w:rPr>
          <w:rStyle w:val="8"/>
          <w:color w:val="222222"/>
          <w:sz w:val="25"/>
          <w:szCs w:val="25"/>
          <w:bdr w:val="none" w:color="auto" w:sz="0" w:space="0"/>
        </w:rPr>
        <w:t>►公建体形系数：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不满足</w:t>
      </w:r>
      <w:r>
        <w:rPr>
          <w:color w:val="D51824"/>
          <w:sz w:val="25"/>
          <w:szCs w:val="25"/>
          <w:bdr w:val="none" w:color="auto" w:sz="0" w:space="0"/>
        </w:rPr>
        <w:t>不可权衡</w:t>
      </w:r>
      <w:r>
        <w:rPr>
          <w:color w:val="3E3E3E"/>
          <w:sz w:val="25"/>
          <w:szCs w:val="25"/>
          <w:bdr w:val="none" w:color="auto" w:sz="0" w:space="0"/>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仅对严寒和寒冷地区有要求，其他气候区不做要求。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建筑面积——</w:t>
      </w:r>
      <w:r>
        <w:rPr>
          <w:color w:val="D51824"/>
          <w:sz w:val="25"/>
          <w:szCs w:val="25"/>
          <w:bdr w:val="none" w:color="auto" w:sz="0" w:space="0"/>
        </w:rPr>
        <w:t>按照地上建筑面积划分</w:t>
      </w:r>
      <w:r>
        <w:rPr>
          <w:color w:val="222222"/>
          <w:sz w:val="25"/>
          <w:szCs w:val="25"/>
          <w:bdr w:val="none" w:color="auto" w:sz="0" w:space="0"/>
        </w:rPr>
        <w:t>（PS:公建国标2015的建筑面积是地上+半地下面积）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问题七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Style w:val="8"/>
          <w:color w:val="222222"/>
          <w:sz w:val="25"/>
          <w:szCs w:val="25"/>
          <w:bdr w:val="none" w:color="auto" w:sz="0" w:space="0"/>
        </w:rPr>
        <w:t>公居建的窗墙比怎样判定，哪些房间参与判定？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答：</w:t>
      </w:r>
    </w:p>
    <w:p>
      <w:pPr>
        <w:keepNext w:val="0"/>
        <w:keepLines w:val="0"/>
        <w:widowControl/>
        <w:suppressLineNumbers w:val="0"/>
        <w:spacing w:before="0" w:beforeAutospacing="0" w:after="0" w:afterAutospacing="0"/>
        <w:ind w:left="0" w:right="0"/>
        <w:jc w:val="left"/>
      </w:pPr>
      <w:r>
        <w:rPr>
          <w:rFonts w:ascii="宋体" w:hAnsi="宋体" w:eastAsia="宋体" w:cs="宋体"/>
          <w:color w:val="222222"/>
          <w:kern w:val="0"/>
          <w:sz w:val="25"/>
          <w:szCs w:val="25"/>
          <w:bdr w:val="none" w:color="auto" w:sz="0" w:space="0"/>
          <w:lang w:val="en-US" w:eastAsia="zh-CN" w:bidi="ar"/>
        </w:rPr>
        <w:drawing>
          <wp:inline distT="0" distB="0" distL="114300" distR="114300">
            <wp:extent cx="5725160" cy="985520"/>
            <wp:effectExtent l="0" t="0" r="8890" b="5080"/>
            <wp:docPr id="11"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66"/>
                    <pic:cNvPicPr>
                      <a:picLocks noChangeAspect="1"/>
                    </pic:cNvPicPr>
                  </pic:nvPicPr>
                  <pic:blipFill>
                    <a:blip r:embed="rId15"/>
                    <a:stretch>
                      <a:fillRect/>
                    </a:stretch>
                  </pic:blipFill>
                  <pic:spPr>
                    <a:xfrm>
                      <a:off x="0" y="0"/>
                      <a:ext cx="5725160" cy="985520"/>
                    </a:xfrm>
                    <a:prstGeom prst="rect">
                      <a:avLst/>
                    </a:prstGeom>
                    <a:noFill/>
                    <a:ln w="9525">
                      <a:noFill/>
                    </a:ln>
                  </pic:spPr>
                </pic:pic>
              </a:graphicData>
            </a:graphic>
          </wp:inline>
        </w:drawing>
      </w:r>
      <w:r>
        <w:rPr>
          <w:rFonts w:ascii="宋体" w:hAnsi="宋体" w:eastAsia="宋体" w:cs="宋体"/>
          <w:color w:val="222222"/>
          <w:kern w:val="0"/>
          <w:sz w:val="25"/>
          <w:szCs w:val="25"/>
          <w:lang w:val="en-US" w:eastAsia="zh-CN" w:bidi="ar"/>
        </w:rPr>
        <w:drawing>
          <wp:inline distT="0" distB="0" distL="114300" distR="114300">
            <wp:extent cx="5562600" cy="2033905"/>
            <wp:effectExtent l="0" t="0" r="0" b="4445"/>
            <wp:docPr id="12"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67"/>
                    <pic:cNvPicPr>
                      <a:picLocks noChangeAspect="1"/>
                    </pic:cNvPicPr>
                  </pic:nvPicPr>
                  <pic:blipFill>
                    <a:blip r:embed="rId16"/>
                    <a:stretch>
                      <a:fillRect/>
                    </a:stretch>
                  </pic:blipFill>
                  <pic:spPr>
                    <a:xfrm>
                      <a:off x="0" y="0"/>
                      <a:ext cx="5562600" cy="203390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color w:val="D51824"/>
          <w:sz w:val="25"/>
          <w:szCs w:val="25"/>
          <w:bdr w:val="none" w:color="auto" w:sz="0" w:space="0"/>
        </w:rPr>
        <w:t>窗墙比计算规则：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►凸凹立面朝向</w:t>
      </w:r>
      <w:r>
        <w:rPr>
          <w:color w:val="222222"/>
          <w:sz w:val="25"/>
          <w:szCs w:val="25"/>
          <w:bdr w:val="none" w:color="auto" w:sz="0" w:space="0"/>
        </w:rPr>
        <w:t>——按其所在的立面进行判断；</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►凸窗</w:t>
      </w:r>
      <w:r>
        <w:rPr>
          <w:color w:val="222222"/>
          <w:sz w:val="25"/>
          <w:szCs w:val="25"/>
          <w:bdr w:val="none" w:color="auto" w:sz="0" w:space="0"/>
        </w:rPr>
        <w:t>——面积按照洞口计算；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color w:val="222222"/>
          <w:sz w:val="25"/>
          <w:szCs w:val="25"/>
          <w:bdr w:val="none" w:color="auto" w:sz="0" w:space="0"/>
        </w:rPr>
        <w:t>            顶部、底部和侧墙的面积不计入外墙面积；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►楼梯间和电梯间</w:t>
      </w:r>
      <w:r>
        <w:rPr>
          <w:color w:val="222222"/>
          <w:sz w:val="25"/>
          <w:szCs w:val="25"/>
          <w:bdr w:val="none" w:color="auto" w:sz="0" w:space="0"/>
        </w:rPr>
        <w:t>——外墙和外窗参与计算。（即该类房间需要进行判定窗墙比）</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►窗墙比判定方式</w:t>
      </w:r>
      <w:r>
        <w:rPr>
          <w:color w:val="222222"/>
          <w:sz w:val="25"/>
          <w:szCs w:val="25"/>
          <w:bdr w:val="none" w:color="auto" w:sz="0" w:space="0"/>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●居建：判定开间窗墙比——限值见上表3.1.4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●公建：按照单一立面朝向计算——标准无限值要求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●工业建筑：按照所有立面计算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问题八</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Style w:val="8"/>
          <w:color w:val="222222"/>
          <w:sz w:val="25"/>
          <w:szCs w:val="25"/>
          <w:bdr w:val="none" w:color="auto" w:sz="0" w:space="0"/>
        </w:rPr>
        <w:t>同样的模型，同样的指北针角度，为什么换了标准后没有南向了？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答：</w:t>
      </w:r>
      <w:r>
        <w:rPr>
          <w:color w:val="222222"/>
          <w:sz w:val="25"/>
          <w:szCs w:val="25"/>
          <w:bdr w:val="none" w:color="auto" w:sz="0" w:space="0"/>
        </w:rPr>
        <w:t>通用规范中重新规定了朝向角度的划分，和之前标准有较大的出入。</w:t>
      </w:r>
    </w:p>
    <w:p>
      <w:pPr>
        <w:keepNext w:val="0"/>
        <w:keepLines w:val="0"/>
        <w:widowControl/>
        <w:suppressLineNumbers w:val="0"/>
        <w:spacing w:before="0" w:beforeAutospacing="0" w:after="0" w:afterAutospacing="0"/>
        <w:ind w:left="0" w:right="0"/>
        <w:jc w:val="left"/>
      </w:pPr>
      <w:r>
        <w:rPr>
          <w:rFonts w:ascii="宋体" w:hAnsi="宋体" w:eastAsia="宋体" w:cs="宋体"/>
          <w:color w:val="222222"/>
          <w:kern w:val="0"/>
          <w:sz w:val="25"/>
          <w:szCs w:val="25"/>
          <w:bdr w:val="none" w:color="auto" w:sz="0" w:space="0"/>
          <w:lang w:val="en-US" w:eastAsia="zh-CN" w:bidi="ar"/>
        </w:rPr>
        <w:drawing>
          <wp:inline distT="0" distB="0" distL="114300" distR="114300">
            <wp:extent cx="5210175" cy="2532380"/>
            <wp:effectExtent l="0" t="0" r="9525" b="1270"/>
            <wp:docPr id="13"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68"/>
                    <pic:cNvPicPr>
                      <a:picLocks noChangeAspect="1"/>
                    </pic:cNvPicPr>
                  </pic:nvPicPr>
                  <pic:blipFill>
                    <a:blip r:embed="rId17"/>
                    <a:stretch>
                      <a:fillRect/>
                    </a:stretch>
                  </pic:blipFill>
                  <pic:spPr>
                    <a:xfrm>
                      <a:off x="0" y="0"/>
                      <a:ext cx="5210175" cy="2532380"/>
                    </a:xfrm>
                    <a:prstGeom prst="rect">
                      <a:avLst/>
                    </a:prstGeom>
                    <a:noFill/>
                    <a:ln w="9525">
                      <a:noFill/>
                    </a:ln>
                  </pic:spPr>
                </pic:pic>
              </a:graphicData>
            </a:graphic>
          </wp:inline>
        </w:drawing>
      </w:r>
    </w:p>
    <w:tbl>
      <w:tblPr>
        <w:tblW w:w="82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208"/>
        <w:gridCol w:w="40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3960" w:hRule="atLeast"/>
        </w:trPr>
        <w:tc>
          <w:tcPr>
            <w:tcW w:w="2541" w:type="pct"/>
            <w:tcBorders>
              <w:top w:val="single" w:color="3E3E3E" w:sz="6" w:space="0"/>
              <w:left w:val="single" w:color="3E3E3E" w:sz="6" w:space="0"/>
              <w:bottom w:val="single" w:color="3E3E3E" w:sz="6" w:space="0"/>
              <w:right w:val="single" w:color="3E3E3E" w:sz="6" w:space="0"/>
            </w:tcBorders>
            <w:shd w:val="clear"/>
            <w:vAlign w:val="center"/>
          </w:tcPr>
          <w:p>
            <w:pPr>
              <w:keepNext w:val="0"/>
              <w:keepLines w:val="0"/>
              <w:widowControl/>
              <w:suppressLineNumbers w:val="0"/>
              <w:wordWrap w:val="0"/>
              <w:spacing w:before="0" w:beforeAutospacing="0" w:after="0" w:afterAutospacing="0"/>
              <w:ind w:left="0" w:right="0"/>
              <w:jc w:val="left"/>
            </w:pPr>
            <w:r>
              <w:rPr>
                <w:rFonts w:ascii="宋体" w:hAnsi="宋体" w:eastAsia="宋体" w:cs="宋体"/>
                <w:kern w:val="0"/>
                <w:sz w:val="24"/>
                <w:szCs w:val="24"/>
                <w:lang w:val="en-US" w:eastAsia="zh-CN" w:bidi="ar"/>
              </w:rPr>
              <w:drawing>
                <wp:inline distT="0" distB="0" distL="114300" distR="114300">
                  <wp:extent cx="2353310" cy="2346960"/>
                  <wp:effectExtent l="0" t="0" r="8890" b="15240"/>
                  <wp:docPr id="14"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69"/>
                          <pic:cNvPicPr>
                            <a:picLocks noChangeAspect="1"/>
                          </pic:cNvPicPr>
                        </pic:nvPicPr>
                        <pic:blipFill>
                          <a:blip r:embed="rId18"/>
                          <a:stretch>
                            <a:fillRect/>
                          </a:stretch>
                        </pic:blipFill>
                        <pic:spPr>
                          <a:xfrm>
                            <a:off x="0" y="0"/>
                            <a:ext cx="2353310" cy="2346960"/>
                          </a:xfrm>
                          <a:prstGeom prst="rect">
                            <a:avLst/>
                          </a:prstGeom>
                          <a:noFill/>
                          <a:ln w="9525">
                            <a:noFill/>
                          </a:ln>
                        </pic:spPr>
                      </pic:pic>
                    </a:graphicData>
                  </a:graphic>
                </wp:inline>
              </w:drawing>
            </w:r>
          </w:p>
        </w:tc>
        <w:tc>
          <w:tcPr>
            <w:tcW w:w="2458" w:type="pct"/>
            <w:tcBorders>
              <w:top w:val="single" w:color="3E3E3E" w:sz="6" w:space="0"/>
              <w:left w:val="single" w:color="3E3E3E" w:sz="6" w:space="0"/>
              <w:bottom w:val="single" w:color="3E3E3E" w:sz="6" w:space="0"/>
              <w:right w:val="single" w:color="3E3E3E" w:sz="6" w:space="0"/>
            </w:tcBorders>
            <w:shd w:val="clear"/>
            <w:vAlign w:val="center"/>
          </w:tcPr>
          <w:p>
            <w:pPr>
              <w:keepNext w:val="0"/>
              <w:keepLines w:val="0"/>
              <w:widowControl/>
              <w:suppressLineNumbers w:val="0"/>
              <w:wordWrap w:val="0"/>
              <w:spacing w:before="0" w:beforeAutospacing="0" w:after="0" w:afterAutospacing="0"/>
              <w:ind w:left="0" w:right="0"/>
              <w:jc w:val="left"/>
            </w:pPr>
            <w:r>
              <w:rPr>
                <w:rFonts w:ascii="宋体" w:hAnsi="宋体" w:eastAsia="宋体" w:cs="宋体"/>
                <w:kern w:val="0"/>
                <w:sz w:val="24"/>
                <w:szCs w:val="24"/>
                <w:bdr w:val="none" w:color="auto" w:sz="0" w:space="0"/>
                <w:lang w:val="en-US" w:eastAsia="zh-CN" w:bidi="ar"/>
              </w:rPr>
              <w:drawing>
                <wp:inline distT="0" distB="0" distL="114300" distR="114300">
                  <wp:extent cx="2391410" cy="2391410"/>
                  <wp:effectExtent l="0" t="0" r="8890" b="8890"/>
                  <wp:docPr id="15"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70"/>
                          <pic:cNvPicPr>
                            <a:picLocks noChangeAspect="1"/>
                          </pic:cNvPicPr>
                        </pic:nvPicPr>
                        <pic:blipFill>
                          <a:blip r:embed="rId19"/>
                          <a:stretch>
                            <a:fillRect/>
                          </a:stretch>
                        </pic:blipFill>
                        <pic:spPr>
                          <a:xfrm>
                            <a:off x="0" y="0"/>
                            <a:ext cx="2391410" cy="2391410"/>
                          </a:xfrm>
                          <a:prstGeom prst="rect">
                            <a:avLst/>
                          </a:prstGeom>
                          <a:noFill/>
                          <a:ln w="9525">
                            <a:noFill/>
                          </a:ln>
                        </pic:spPr>
                      </pic:pic>
                    </a:graphicData>
                  </a:graphic>
                </wp:inline>
              </w:drawing>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问题九</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Style w:val="8"/>
          <w:color w:val="222222"/>
          <w:sz w:val="25"/>
          <w:szCs w:val="25"/>
          <w:bdr w:val="none" w:color="auto" w:sz="0" w:space="0"/>
        </w:rPr>
        <w:t>如何查看整个建筑的能耗？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答：</w:t>
      </w:r>
      <w:r>
        <w:rPr>
          <w:color w:val="222222"/>
          <w:sz w:val="25"/>
          <w:szCs w:val="25"/>
          <w:bdr w:val="none" w:color="auto" w:sz="0" w:space="0"/>
        </w:rPr>
        <w:t>建筑能耗需要计算权衡，而生成权衡报告的前提是权衡强条都是通过的，其中，乙类建筑不允许权衡，必须全部满足标准条文的规定。3.1.10-3.1.11条文说明：</w:t>
      </w:r>
    </w:p>
    <w:p>
      <w:pPr>
        <w:keepNext w:val="0"/>
        <w:keepLines w:val="0"/>
        <w:widowControl/>
        <w:suppressLineNumbers w:val="0"/>
        <w:spacing w:before="0" w:beforeAutospacing="0" w:after="0" w:afterAutospacing="0"/>
        <w:ind w:left="0" w:right="0"/>
        <w:jc w:val="left"/>
      </w:pPr>
      <w:r>
        <w:rPr>
          <w:rFonts w:ascii="宋体" w:hAnsi="宋体" w:eastAsia="宋体" w:cs="宋体"/>
          <w:color w:val="222222"/>
          <w:kern w:val="0"/>
          <w:sz w:val="25"/>
          <w:szCs w:val="25"/>
          <w:bdr w:val="none" w:color="auto" w:sz="0" w:space="0"/>
          <w:lang w:val="en-US" w:eastAsia="zh-CN" w:bidi="ar"/>
        </w:rPr>
        <w:drawing>
          <wp:inline distT="0" distB="0" distL="114300" distR="114300">
            <wp:extent cx="5258435" cy="673100"/>
            <wp:effectExtent l="0" t="0" r="18415" b="12700"/>
            <wp:docPr id="16"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271"/>
                    <pic:cNvPicPr>
                      <a:picLocks noChangeAspect="1"/>
                    </pic:cNvPicPr>
                  </pic:nvPicPr>
                  <pic:blipFill>
                    <a:blip r:embed="rId20"/>
                    <a:stretch>
                      <a:fillRect/>
                    </a:stretch>
                  </pic:blipFill>
                  <pic:spPr>
                    <a:xfrm>
                      <a:off x="0" y="0"/>
                      <a:ext cx="5258435" cy="67310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问题十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Style w:val="8"/>
          <w:color w:val="D51824"/>
          <w:sz w:val="25"/>
          <w:szCs w:val="25"/>
          <w:bdr w:val="none" w:color="auto" w:sz="0" w:space="0"/>
        </w:rPr>
        <w:t>能耗、碳排放和可再生能源计算范围包含了哪些</w:t>
      </w:r>
      <w:r>
        <w:rPr>
          <w:rStyle w:val="8"/>
          <w:color w:val="222222"/>
          <w:sz w:val="25"/>
          <w:szCs w:val="25"/>
          <w:bdr w:val="none" w:color="auto" w:sz="0" w:space="0"/>
        </w:rPr>
        <w:t>，碳排放计算是否要计算全生命周期的？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答：</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►能耗计算范围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计算供暖、空调、照明、生活热水、电梯、可再生能源。炊事和插座暂不考虑。</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►碳排放计算范围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本标准计算运行阶段的碳排放，建造和建材的碳排放只作为鼓励，不做强制要求。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8"/>
          <w:color w:val="222222"/>
          <w:sz w:val="25"/>
          <w:szCs w:val="25"/>
          <w:bdr w:val="none" w:color="auto" w:sz="0" w:space="0"/>
        </w:rPr>
        <w:t>►可再生能源计算范围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color w:val="222222"/>
          <w:sz w:val="25"/>
          <w:szCs w:val="25"/>
          <w:bdr w:val="none" w:color="auto" w:sz="0" w:space="0"/>
        </w:rPr>
        <w:t>强调光伏、风电、光热（空气源、土壤源、水源）热泵等。</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ze1J90CAAAmBgAADgAAAAAAAAABACAAAAAfAQAAZHJzL2Uyb0RvYy54bWxQSwUG&#10;AAAAAAYABgBZAQAAbgY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3344D6"/>
    <w:rsid w:val="5A3344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2022-03-25T00:34:00Z</dcterms:created>
  <dc:creator>清风</dc:creator>
  <cp:lastModifiedBy>清风</cp:lastModifiedBy>
  <dcterms:modified xsi:type="dcterms:W3CDTF">2022-03-25T00:44:48Z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E7BC38321DE44DB98C4BED1B7DC96A93</vt:lpwstr>
  </property>
</Properties>
</file>