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10" w:afterAutospacing="0" w:line="21" w:lineRule="atLeast"/>
        <w:ind w:left="0" w:right="0"/>
        <w:rPr>
          <w:b/>
          <w:bCs/>
          <w:sz w:val="33"/>
          <w:szCs w:val="33"/>
        </w:rPr>
      </w:pPr>
      <w:r>
        <w:rPr>
          <w:b/>
          <w:bCs/>
          <w:sz w:val="33"/>
          <w:szCs w:val="33"/>
          <w:bdr w:val="none" w:color="auto" w:sz="0" w:space="0"/>
        </w:rPr>
        <w:t>《建筑节能与可再生能源利用通用规范》常见</w:t>
      </w:r>
      <w:bookmarkStart w:id="0" w:name="_GoBack"/>
      <w:bookmarkEnd w:id="0"/>
      <w:r>
        <w:rPr>
          <w:b/>
          <w:bCs/>
          <w:sz w:val="33"/>
          <w:szCs w:val="33"/>
          <w:bdr w:val="none" w:color="auto" w:sz="0" w:space="0"/>
        </w:rPr>
        <w:t>问题解析</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30" w:afterAutospacing="0" w:line="300" w:lineRule="atLeast"/>
        <w:ind w:left="0" w:right="0"/>
        <w:jc w:val="left"/>
        <w:rPr>
          <w:sz w:val="0"/>
          <w:szCs w:val="0"/>
        </w:rPr>
      </w:pPr>
      <w:r>
        <w:rPr>
          <w:rFonts w:ascii="宋体" w:hAnsi="宋体" w:eastAsia="宋体" w:cs="宋体"/>
          <w:kern w:val="0"/>
          <w:sz w:val="22"/>
          <w:szCs w:val="22"/>
          <w:bdr w:val="none" w:color="auto" w:sz="0" w:space="0"/>
          <w:lang w:val="en-US" w:eastAsia="zh-CN" w:bidi="ar"/>
        </w:rPr>
        <w:t>胡晓蕾</w:t>
      </w:r>
      <w:r>
        <w:rPr>
          <w:rFonts w:ascii="宋体" w:hAnsi="宋体" w:eastAsia="宋体" w:cs="宋体"/>
          <w:kern w:val="0"/>
          <w:sz w:val="0"/>
          <w:szCs w:val="0"/>
          <w:bdr w:val="none" w:color="auto" w:sz="0" w:space="0"/>
          <w:lang w:val="en-US" w:eastAsia="zh-CN" w:bidi="ar"/>
        </w:rPr>
        <w:t> </w:t>
      </w:r>
      <w:r>
        <w:rPr>
          <w:rFonts w:ascii="宋体" w:hAnsi="宋体" w:eastAsia="宋体" w:cs="宋体"/>
          <w:color w:val="576B95"/>
          <w:kern w:val="0"/>
          <w:sz w:val="22"/>
          <w:szCs w:val="22"/>
          <w:u w:val="none"/>
          <w:bdr w:val="none" w:color="auto" w:sz="0" w:space="0"/>
          <w:lang w:val="en-US" w:eastAsia="zh-CN" w:bidi="ar"/>
        </w:rPr>
        <w:fldChar w:fldCharType="begin"/>
      </w:r>
      <w:r>
        <w:rPr>
          <w:rFonts w:ascii="宋体" w:hAnsi="宋体" w:eastAsia="宋体" w:cs="宋体"/>
          <w:color w:val="576B95"/>
          <w:kern w:val="0"/>
          <w:sz w:val="22"/>
          <w:szCs w:val="22"/>
          <w:u w:val="none"/>
          <w:bdr w:val="none" w:color="auto" w:sz="0" w:space="0"/>
          <w:lang w:val="en-US" w:eastAsia="zh-CN" w:bidi="ar"/>
        </w:rPr>
        <w:instrText xml:space="preserve"> HYPERLINK "javascript:void(0);" </w:instrText>
      </w:r>
      <w:r>
        <w:rPr>
          <w:rFonts w:ascii="宋体" w:hAnsi="宋体" w:eastAsia="宋体" w:cs="宋体"/>
          <w:color w:val="576B95"/>
          <w:kern w:val="0"/>
          <w:sz w:val="22"/>
          <w:szCs w:val="22"/>
          <w:u w:val="none"/>
          <w:bdr w:val="none" w:color="auto" w:sz="0" w:space="0"/>
          <w:lang w:val="en-US" w:eastAsia="zh-CN" w:bidi="ar"/>
        </w:rPr>
        <w:fldChar w:fldCharType="separate"/>
      </w:r>
      <w:r>
        <w:rPr>
          <w:rStyle w:val="10"/>
          <w:rFonts w:ascii="宋体" w:hAnsi="宋体" w:eastAsia="宋体" w:cs="宋体"/>
          <w:color w:val="576B95"/>
          <w:sz w:val="22"/>
          <w:szCs w:val="22"/>
          <w:u w:val="none"/>
          <w:bdr w:val="none" w:color="auto" w:sz="0" w:space="0"/>
        </w:rPr>
        <w:t>PKPM构力科技</w:t>
      </w:r>
      <w:r>
        <w:rPr>
          <w:rFonts w:ascii="宋体" w:hAnsi="宋体" w:eastAsia="宋体" w:cs="宋体"/>
          <w:color w:val="576B95"/>
          <w:kern w:val="0"/>
          <w:sz w:val="22"/>
          <w:szCs w:val="22"/>
          <w:u w:val="none"/>
          <w:bdr w:val="none" w:color="auto" w:sz="0" w:space="0"/>
          <w:lang w:val="en-US" w:eastAsia="zh-CN" w:bidi="ar"/>
        </w:rPr>
        <w:fldChar w:fldCharType="end"/>
      </w:r>
      <w:r>
        <w:rPr>
          <w:rFonts w:ascii="宋体" w:hAnsi="宋体" w:eastAsia="宋体" w:cs="宋体"/>
          <w:kern w:val="0"/>
          <w:sz w:val="0"/>
          <w:szCs w:val="0"/>
          <w:bdr w:val="none" w:color="auto" w:sz="0" w:space="0"/>
          <w:lang w:val="en-US" w:eastAsia="zh-CN" w:bidi="ar"/>
        </w:rPr>
        <w:t> </w:t>
      </w:r>
      <w:r>
        <w:rPr>
          <w:rStyle w:val="9"/>
          <w:rFonts w:ascii="宋体" w:hAnsi="宋体" w:eastAsia="宋体" w:cs="宋体"/>
          <w:i w:val="0"/>
          <w:iCs w:val="0"/>
          <w:kern w:val="0"/>
          <w:sz w:val="22"/>
          <w:szCs w:val="22"/>
          <w:bdr w:val="none" w:color="auto" w:sz="0" w:space="0"/>
          <w:lang w:val="en-US" w:eastAsia="zh-CN" w:bidi="ar"/>
        </w:rPr>
        <w:t>2022-03-24 17:00</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spacing w:val="8"/>
        </w:rPr>
      </w:pPr>
      <w:r>
        <w:rPr>
          <w:rFonts w:ascii="微软雅黑" w:hAnsi="微软雅黑" w:eastAsia="微软雅黑" w:cs="微软雅黑"/>
          <w:color w:val="888888"/>
          <w:spacing w:val="8"/>
          <w:sz w:val="21"/>
          <w:szCs w:val="21"/>
          <w:bdr w:val="none" w:color="auto" w:sz="0" w:space="0"/>
        </w:rPr>
        <w:t>▲ 点击上方蓝字，关注PKPM构力科技</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both"/>
        <w:rPr>
          <w:rFonts w:hint="eastAsia" w:ascii="微软雅黑" w:hAnsi="微软雅黑" w:eastAsia="微软雅黑" w:cs="微软雅黑"/>
          <w:color w:val="222222"/>
          <w:spacing w:val="8"/>
          <w:sz w:val="24"/>
          <w:szCs w:val="24"/>
        </w:rPr>
      </w:pPr>
      <w:r>
        <w:rPr>
          <w:rFonts w:hint="eastAsia" w:ascii="微软雅黑" w:hAnsi="微软雅黑" w:eastAsia="微软雅黑" w:cs="微软雅黑"/>
          <w:color w:val="222222"/>
          <w:spacing w:val="8"/>
          <w:sz w:val="24"/>
          <w:szCs w:val="24"/>
          <w:bdr w:val="none" w:color="auto" w:sz="0" w:space="0"/>
          <w:shd w:val="clear" w:fill="FFFFFF"/>
        </w:rPr>
        <w:drawing>
          <wp:inline distT="0" distB="0" distL="114300" distR="114300">
            <wp:extent cx="5382895" cy="1390015"/>
            <wp:effectExtent l="0" t="0" r="8255" b="635"/>
            <wp:docPr id="5"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IMG_256"/>
                    <pic:cNvPicPr>
                      <a:picLocks noChangeAspect="1"/>
                    </pic:cNvPicPr>
                  </pic:nvPicPr>
                  <pic:blipFill>
                    <a:blip r:embed="rId5"/>
                    <a:stretch>
                      <a:fillRect/>
                    </a:stretch>
                  </pic:blipFill>
                  <pic:spPr>
                    <a:xfrm>
                      <a:off x="0" y="0"/>
                      <a:ext cx="5382895" cy="1390015"/>
                    </a:xfrm>
                    <a:prstGeom prst="rect">
                      <a:avLst/>
                    </a:prstGeom>
                    <a:noFill/>
                    <a:ln w="9525">
                      <a:noFill/>
                    </a:ln>
                  </pic:spPr>
                </pic:pic>
              </a:graphicData>
            </a:graphic>
          </wp:inline>
        </w:drawing>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color w:val="222222"/>
          <w:sz w:val="25"/>
          <w:szCs w:val="25"/>
          <w:bdr w:val="none" w:color="auto" w:sz="0" w:space="0"/>
        </w:rPr>
        <w:t>下一个月就要执行《建筑节能与可再生能源利用通用规范》了，你学习了吗？</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color w:val="222222"/>
          <w:sz w:val="25"/>
          <w:szCs w:val="25"/>
          <w:bdr w:val="none" w:color="auto" w:sz="0" w:space="0"/>
        </w:rPr>
        <w:t>随着时间的邻近，设计师在使用的时候遇到一些问题，本文就常问的一些条文理解方面给出解释，主要来源于标准条文说明和编制组答复。以下我们共同来学习一下吧！</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8"/>
          <w:color w:val="222222"/>
          <w:sz w:val="25"/>
          <w:szCs w:val="25"/>
          <w:bdr w:val="none" w:color="auto" w:sz="0" w:space="0"/>
        </w:rPr>
        <w:t>问题一</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rStyle w:val="8"/>
          <w:color w:val="222222"/>
          <w:sz w:val="25"/>
          <w:szCs w:val="25"/>
          <w:bdr w:val="none" w:color="auto" w:sz="0" w:space="0"/>
        </w:rPr>
        <w:t>该标准中所有条文都是强制执行的么？若地标中一些条文与该标准中条文不符应怎样判定？</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8"/>
          <w:color w:val="222222"/>
          <w:sz w:val="25"/>
          <w:szCs w:val="25"/>
          <w:bdr w:val="none" w:color="auto" w:sz="0" w:space="0"/>
        </w:rPr>
        <w:t>答：</w:t>
      </w:r>
      <w:r>
        <w:rPr>
          <w:color w:val="222222"/>
          <w:sz w:val="25"/>
          <w:szCs w:val="25"/>
          <w:bdr w:val="none" w:color="auto" w:sz="0" w:space="0"/>
        </w:rPr>
        <w:t>该标准中所有条文强制执行，现行标准中与该标准中条文有差距时，执行本标准规定。</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222222"/>
          <w:sz w:val="25"/>
          <w:szCs w:val="25"/>
        </w:rPr>
      </w:pPr>
      <w:r>
        <w:rPr>
          <w:rFonts w:ascii="宋体" w:hAnsi="宋体" w:eastAsia="宋体" w:cs="宋体"/>
          <w:color w:val="222222"/>
          <w:kern w:val="0"/>
          <w:sz w:val="25"/>
          <w:szCs w:val="25"/>
          <w:bdr w:val="none" w:color="auto" w:sz="0" w:space="0"/>
          <w:lang w:val="en-US" w:eastAsia="zh-CN" w:bidi="ar"/>
        </w:rPr>
        <w:drawing>
          <wp:inline distT="0" distB="0" distL="114300" distR="114300">
            <wp:extent cx="5372100" cy="1492885"/>
            <wp:effectExtent l="0" t="0" r="0" b="12065"/>
            <wp:docPr id="4" name="图片 2"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descr="IMG_257"/>
                    <pic:cNvPicPr>
                      <a:picLocks noChangeAspect="1"/>
                    </pic:cNvPicPr>
                  </pic:nvPicPr>
                  <pic:blipFill>
                    <a:blip r:embed="rId6"/>
                    <a:stretch>
                      <a:fillRect/>
                    </a:stretch>
                  </pic:blipFill>
                  <pic:spPr>
                    <a:xfrm>
                      <a:off x="0" y="0"/>
                      <a:ext cx="5372100" cy="1492885"/>
                    </a:xfrm>
                    <a:prstGeom prst="rect">
                      <a:avLst/>
                    </a:prstGeom>
                    <a:noFill/>
                    <a:ln w="9525">
                      <a:noFill/>
                    </a:ln>
                  </pic:spPr>
                </pic:pic>
              </a:graphicData>
            </a:graphic>
          </wp:inline>
        </w:drawing>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8"/>
          <w:color w:val="222222"/>
          <w:sz w:val="25"/>
          <w:szCs w:val="25"/>
          <w:bdr w:val="none" w:color="auto" w:sz="0" w:space="0"/>
        </w:rPr>
        <w:t>问题二</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rStyle w:val="8"/>
          <w:color w:val="222222"/>
          <w:sz w:val="25"/>
          <w:szCs w:val="25"/>
          <w:bdr w:val="none" w:color="auto" w:sz="0" w:space="0"/>
        </w:rPr>
        <w:t>本规范的适用范围是什么，哪些建筑不执行该标准？</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8"/>
          <w:color w:val="222222"/>
          <w:sz w:val="25"/>
          <w:szCs w:val="25"/>
          <w:bdr w:val="none" w:color="auto" w:sz="0" w:space="0"/>
        </w:rPr>
        <w:t>答：</w:t>
      </w:r>
    </w:p>
    <w:p>
      <w:pPr>
        <w:keepNext w:val="0"/>
        <w:keepLines w:val="0"/>
        <w:widowControl/>
        <w:suppressLineNumbers w:val="0"/>
        <w:spacing w:before="0" w:beforeAutospacing="0" w:after="0" w:afterAutospacing="0"/>
        <w:ind w:left="0" w:right="0"/>
        <w:jc w:val="left"/>
      </w:pPr>
      <w:r>
        <w:rPr>
          <w:rFonts w:ascii="宋体" w:hAnsi="宋体" w:eastAsia="宋体" w:cs="宋体"/>
          <w:color w:val="222222"/>
          <w:kern w:val="0"/>
          <w:sz w:val="25"/>
          <w:szCs w:val="25"/>
          <w:bdr w:val="none" w:color="auto" w:sz="0" w:space="0"/>
          <w:lang w:val="en-US" w:eastAsia="zh-CN" w:bidi="ar"/>
        </w:rPr>
        <w:drawing>
          <wp:inline distT="0" distB="0" distL="114300" distR="114300">
            <wp:extent cx="5430520" cy="898525"/>
            <wp:effectExtent l="0" t="0" r="17780" b="15875"/>
            <wp:docPr id="1" name="图片 3"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3" descr="IMG_258"/>
                    <pic:cNvPicPr>
                      <a:picLocks noChangeAspect="1"/>
                    </pic:cNvPicPr>
                  </pic:nvPicPr>
                  <pic:blipFill>
                    <a:blip r:embed="rId7"/>
                    <a:stretch>
                      <a:fillRect/>
                    </a:stretch>
                  </pic:blipFill>
                  <pic:spPr>
                    <a:xfrm>
                      <a:off x="0" y="0"/>
                      <a:ext cx="5430520" cy="898525"/>
                    </a:xfrm>
                    <a:prstGeom prst="rect">
                      <a:avLst/>
                    </a:prstGeom>
                    <a:noFill/>
                    <a:ln w="9525">
                      <a:noFill/>
                    </a:ln>
                  </pic:spPr>
                </pic:pic>
              </a:graphicData>
            </a:graphic>
          </wp:inline>
        </w:drawing>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8"/>
          <w:color w:val="222222"/>
          <w:sz w:val="25"/>
          <w:szCs w:val="25"/>
          <w:bdr w:val="none" w:color="auto" w:sz="0" w:space="0"/>
        </w:rPr>
        <w:t>►适用：</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color w:val="222222"/>
          <w:sz w:val="25"/>
          <w:szCs w:val="25"/>
          <w:bdr w:val="none" w:color="auto" w:sz="0" w:space="0"/>
        </w:rPr>
        <w:t>民用建筑、工业建筑——新建、改建、扩建；</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color w:val="222222"/>
          <w:sz w:val="25"/>
          <w:szCs w:val="25"/>
          <w:bdr w:val="none" w:color="auto" w:sz="0" w:space="0"/>
        </w:rPr>
        <w:t>既有建筑改造。</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8"/>
          <w:color w:val="222222"/>
          <w:sz w:val="25"/>
          <w:szCs w:val="25"/>
          <w:bdr w:val="none" w:color="auto" w:sz="0" w:space="0"/>
        </w:rPr>
        <w:t>►不适用：</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color w:val="222222"/>
          <w:sz w:val="25"/>
          <w:szCs w:val="25"/>
          <w:bdr w:val="none" w:color="auto" w:sz="0" w:space="0"/>
        </w:rPr>
        <w:t>没有设置供暖、空调系统的工业建筑；</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color w:val="222222"/>
          <w:sz w:val="25"/>
          <w:szCs w:val="25"/>
          <w:bdr w:val="none" w:color="auto" w:sz="0" w:space="0"/>
        </w:rPr>
        <w:t>战争、自然灾害等不可抗条件下对建筑节能与可再生能源利用的要求。</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8"/>
          <w:color w:val="222222"/>
          <w:sz w:val="25"/>
          <w:szCs w:val="25"/>
          <w:bdr w:val="none" w:color="auto" w:sz="0" w:space="0"/>
        </w:rPr>
        <w:t>►不强制：</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color w:val="222222"/>
          <w:sz w:val="25"/>
          <w:szCs w:val="25"/>
          <w:bdr w:val="none" w:color="auto" w:sz="0" w:space="0"/>
        </w:rPr>
        <w:t>适用限期为两年以下的临时建筑，可参考执行。</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8"/>
          <w:color w:val="222222"/>
          <w:sz w:val="25"/>
          <w:szCs w:val="25"/>
          <w:bdr w:val="none" w:color="auto" w:sz="0" w:space="0"/>
        </w:rPr>
        <w:t>问题三</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rStyle w:val="8"/>
          <w:color w:val="222222"/>
          <w:sz w:val="25"/>
          <w:szCs w:val="25"/>
          <w:bdr w:val="none" w:color="auto" w:sz="0" w:space="0"/>
        </w:rPr>
        <w:t>2.0.1条中说的能耗指标对比的基准是2016年执行的节能标准，这里的节能标准指的是什么。能耗水平要求降低30%和20%是每个建筑的指标要求么？</w:t>
      </w:r>
    </w:p>
    <w:p>
      <w:pPr>
        <w:keepNext w:val="0"/>
        <w:keepLines w:val="0"/>
        <w:widowControl/>
        <w:suppressLineNumbers w:val="0"/>
        <w:spacing w:before="0" w:beforeAutospacing="0" w:after="0" w:afterAutospacing="0"/>
        <w:ind w:left="0" w:right="0"/>
        <w:jc w:val="left"/>
      </w:pPr>
      <w:r>
        <w:rPr>
          <w:rFonts w:ascii="宋体" w:hAnsi="宋体" w:eastAsia="宋体" w:cs="宋体"/>
          <w:color w:val="222222"/>
          <w:kern w:val="0"/>
          <w:sz w:val="25"/>
          <w:szCs w:val="25"/>
          <w:bdr w:val="none" w:color="auto" w:sz="0" w:space="0"/>
          <w:lang w:val="en-US" w:eastAsia="zh-CN" w:bidi="ar"/>
        </w:rPr>
        <w:drawing>
          <wp:inline distT="0" distB="0" distL="114300" distR="114300">
            <wp:extent cx="5239385" cy="1960245"/>
            <wp:effectExtent l="0" t="0" r="18415" b="1905"/>
            <wp:docPr id="3" name="图片 4"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4" descr="IMG_259"/>
                    <pic:cNvPicPr>
                      <a:picLocks noChangeAspect="1"/>
                    </pic:cNvPicPr>
                  </pic:nvPicPr>
                  <pic:blipFill>
                    <a:blip r:embed="rId8"/>
                    <a:stretch>
                      <a:fillRect/>
                    </a:stretch>
                  </pic:blipFill>
                  <pic:spPr>
                    <a:xfrm>
                      <a:off x="0" y="0"/>
                      <a:ext cx="5239385" cy="1960245"/>
                    </a:xfrm>
                    <a:prstGeom prst="rect">
                      <a:avLst/>
                    </a:prstGeom>
                    <a:noFill/>
                    <a:ln w="9525">
                      <a:noFill/>
                    </a:ln>
                  </pic:spPr>
                </pic:pic>
              </a:graphicData>
            </a:graphic>
          </wp:inline>
        </w:drawing>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8"/>
          <w:color w:val="222222"/>
          <w:sz w:val="25"/>
          <w:szCs w:val="25"/>
          <w:bdr w:val="none" w:color="auto" w:sz="0" w:space="0"/>
        </w:rPr>
        <w:t>答：</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rStyle w:val="8"/>
          <w:color w:val="222222"/>
          <w:sz w:val="25"/>
          <w:szCs w:val="25"/>
          <w:bdr w:val="none" w:color="auto" w:sz="0" w:space="0"/>
        </w:rPr>
        <w:t>①2016年执行基准标准</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color w:val="222222"/>
          <w:sz w:val="25"/>
          <w:szCs w:val="25"/>
          <w:bdr w:val="none" w:color="auto" w:sz="0" w:space="0"/>
        </w:rPr>
        <w:t>本规范对新建建筑节能水平的衡量是以2016年执行的建筑节能设计标准的节能水平为基准，在此基础上，居住建筑设计能耗再降低30%，公共建筑能耗再降低20%。这是执行本标准各项技术要求后全国范围建筑设计能耗的总体水平。</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color w:val="222222"/>
          <w:sz w:val="25"/>
          <w:szCs w:val="25"/>
          <w:bdr w:val="none" w:color="auto" w:sz="0" w:space="0"/>
        </w:rPr>
        <w:t>2016年执行的国家和行业节能设计标准及节能率如下：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color w:val="222222"/>
          <w:sz w:val="25"/>
          <w:szCs w:val="25"/>
          <w:bdr w:val="none" w:color="auto" w:sz="0" w:space="0"/>
        </w:rPr>
        <w:t>《严寒和寒冷居住建筑节能设计标准》JGJ26-2010</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color w:val="222222"/>
          <w:sz w:val="25"/>
          <w:szCs w:val="25"/>
          <w:bdr w:val="none" w:color="auto" w:sz="0" w:space="0"/>
        </w:rPr>
        <w:t>——节能率：65%——通用规范节能率：75%</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color w:val="222222"/>
          <w:sz w:val="25"/>
          <w:szCs w:val="25"/>
          <w:bdr w:val="none" w:color="auto" w:sz="0" w:space="0"/>
        </w:rPr>
        <w:t>《夏热冬冷地区居住建筑节能设计标准》JGJ134-2010</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color w:val="222222"/>
          <w:sz w:val="25"/>
          <w:szCs w:val="25"/>
          <w:bdr w:val="none" w:color="auto" w:sz="0" w:space="0"/>
        </w:rPr>
        <w:t>——节能率：50%——通用规范节能率：65%</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color w:val="222222"/>
          <w:sz w:val="25"/>
          <w:szCs w:val="25"/>
          <w:bdr w:val="none" w:color="auto" w:sz="0" w:space="0"/>
        </w:rPr>
        <w:t>《夏热冬暖地区居住建筑节能设计标准》JGJ75-2012</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color w:val="222222"/>
          <w:sz w:val="25"/>
          <w:szCs w:val="25"/>
          <w:bdr w:val="none" w:color="auto" w:sz="0" w:space="0"/>
        </w:rPr>
        <w:t>——节能率：50%——通用规范节能率：65%</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color w:val="222222"/>
          <w:sz w:val="25"/>
          <w:szCs w:val="25"/>
          <w:bdr w:val="none" w:color="auto" w:sz="0" w:space="0"/>
        </w:rPr>
        <w:t>《公共建筑节能设计标准》GB50189-2015——65%</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color w:val="222222"/>
          <w:sz w:val="25"/>
          <w:szCs w:val="25"/>
          <w:bdr w:val="none" w:color="auto" w:sz="0" w:space="0"/>
        </w:rPr>
        <w:t>——节能率：65%——通用规范节能率：72%</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color w:val="222222"/>
          <w:sz w:val="25"/>
          <w:szCs w:val="25"/>
          <w:bdr w:val="none" w:color="auto" w:sz="0" w:space="0"/>
        </w:rPr>
        <w:t>温和地区：参照云贵两省常用建筑构造</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rStyle w:val="8"/>
          <w:color w:val="222222"/>
          <w:sz w:val="25"/>
          <w:szCs w:val="25"/>
          <w:bdr w:val="none" w:color="auto" w:sz="0" w:space="0"/>
        </w:rPr>
        <w:t>②能耗对比基准的变动</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color w:val="222222"/>
          <w:sz w:val="25"/>
          <w:szCs w:val="25"/>
          <w:bdr w:val="none" w:color="auto" w:sz="0" w:space="0"/>
        </w:rPr>
        <w:t>本标准一个比较大的变动是能耗对比基准由以我国20世纪80年代建筑能耗水平为基准的静态节能率方式，转换为以标准实施的年代版本为基础的统称，量化提高的程度，用相对上一版本的相对节能率描述。因此本标准的能耗对比的基准不再是一个确定的数值，而是以2016年为基准，而2016年的确定是以“十二五”向“十三五”建筑节能工作转化的一个重要时间段。</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color w:val="222222"/>
          <w:sz w:val="25"/>
          <w:szCs w:val="25"/>
          <w:bdr w:val="none" w:color="auto" w:sz="0" w:space="0"/>
        </w:rPr>
        <w:t>如此变动的原因主要基于以下几点考量：</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color w:val="222222"/>
          <w:sz w:val="25"/>
          <w:szCs w:val="25"/>
          <w:bdr w:val="none" w:color="auto" w:sz="0" w:space="0"/>
        </w:rPr>
        <w:t>●我国地域广大，气候差异大，若要达到相同的节能率水平，技术难度和实施成本巨大，且各地静态节能率的水平不同步。</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color w:val="222222"/>
          <w:sz w:val="25"/>
          <w:szCs w:val="25"/>
          <w:bdr w:val="none" w:color="auto" w:sz="0" w:space="0"/>
        </w:rPr>
        <w:t>●空调和生活热水逐渐成为南方建筑能耗的主要组成部分。但是80年代的主要以北方供暖能耗为主，南方这部分能耗没有基线数据作为量化比较的基准。</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color w:val="222222"/>
          <w:sz w:val="25"/>
          <w:szCs w:val="25"/>
          <w:bdr w:val="none" w:color="auto" w:sz="0" w:space="0"/>
        </w:rPr>
        <w:t>●采用静态节能率的描述方式，提升的空间量化显示度将越来越小，不利于观测。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color w:val="222222"/>
          <w:sz w:val="25"/>
          <w:szCs w:val="25"/>
          <w:bdr w:val="none" w:color="auto" w:sz="0" w:space="0"/>
        </w:rPr>
        <w:t> </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rStyle w:val="8"/>
          <w:color w:val="222222"/>
          <w:sz w:val="25"/>
          <w:szCs w:val="25"/>
          <w:bdr w:val="none" w:color="auto" w:sz="0" w:space="0"/>
        </w:rPr>
        <w:t>③30%和20%的含义</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color w:val="222222"/>
          <w:sz w:val="25"/>
          <w:szCs w:val="25"/>
          <w:bdr w:val="none" w:color="auto" w:sz="0" w:space="0"/>
        </w:rPr>
        <w:t>这里要求的能耗指标降低30%和20%，并不能作为单一工程节能水平的判断依据，是为了给政府部门政策指定和发布提供数据，并不针对单一工程项目，指的是标准实施后，全国范围内新进建筑的能耗水平。在做建筑设计时只需要满足标准中相关的核心条文即可。</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color w:val="222222"/>
          <w:sz w:val="25"/>
          <w:szCs w:val="25"/>
          <w:bdr w:val="none" w:color="auto" w:sz="0" w:space="0"/>
        </w:rPr>
        <w:t> </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color w:val="222222"/>
          <w:sz w:val="25"/>
          <w:szCs w:val="25"/>
          <w:bdr w:val="none" w:color="auto" w:sz="0" w:space="0"/>
        </w:rPr>
        <w:t>附录A.0.1也是一样的原则，表中的能耗指标不作为单一建筑指标的判断合规依据。</w:t>
      </w:r>
    </w:p>
    <w:p>
      <w:pPr>
        <w:keepNext w:val="0"/>
        <w:keepLines w:val="0"/>
        <w:widowControl/>
        <w:suppressLineNumbers w:val="0"/>
        <w:spacing w:before="0" w:beforeAutospacing="0" w:after="0" w:afterAutospacing="0"/>
        <w:ind w:left="0" w:right="0"/>
        <w:jc w:val="left"/>
      </w:pPr>
      <w:r>
        <w:rPr>
          <w:rFonts w:ascii="宋体" w:hAnsi="宋体" w:eastAsia="宋体" w:cs="宋体"/>
          <w:color w:val="222222"/>
          <w:kern w:val="0"/>
          <w:sz w:val="25"/>
          <w:szCs w:val="25"/>
          <w:bdr w:val="none" w:color="auto" w:sz="0" w:space="0"/>
          <w:lang w:val="en-US" w:eastAsia="zh-CN" w:bidi="ar"/>
        </w:rPr>
        <w:drawing>
          <wp:inline distT="0" distB="0" distL="114300" distR="114300">
            <wp:extent cx="5602605" cy="4498340"/>
            <wp:effectExtent l="0" t="0" r="17145" b="16510"/>
            <wp:docPr id="2" name="图片 5"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5" descr="IMG_260"/>
                    <pic:cNvPicPr>
                      <a:picLocks noChangeAspect="1"/>
                    </pic:cNvPicPr>
                  </pic:nvPicPr>
                  <pic:blipFill>
                    <a:blip r:embed="rId9"/>
                    <a:stretch>
                      <a:fillRect/>
                    </a:stretch>
                  </pic:blipFill>
                  <pic:spPr>
                    <a:xfrm>
                      <a:off x="0" y="0"/>
                      <a:ext cx="5602605" cy="4498340"/>
                    </a:xfrm>
                    <a:prstGeom prst="rect">
                      <a:avLst/>
                    </a:prstGeom>
                    <a:noFill/>
                    <a:ln w="9525">
                      <a:noFill/>
                    </a:ln>
                  </pic:spPr>
                </pic:pic>
              </a:graphicData>
            </a:graphic>
          </wp:inline>
        </w:drawing>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8"/>
          <w:color w:val="222222"/>
          <w:sz w:val="25"/>
          <w:szCs w:val="25"/>
          <w:bdr w:val="none" w:color="auto" w:sz="0" w:space="0"/>
        </w:rPr>
        <w:t>问题四</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rStyle w:val="8"/>
          <w:color w:val="222222"/>
          <w:sz w:val="25"/>
          <w:szCs w:val="25"/>
          <w:bdr w:val="none" w:color="auto" w:sz="0" w:space="0"/>
        </w:rPr>
        <w:t>2.0.3条规定的碳排放指标7kgco2/(㎡*a)和比例降低40%，公居建如何区分？</w:t>
      </w:r>
    </w:p>
    <w:p>
      <w:pPr>
        <w:keepNext w:val="0"/>
        <w:keepLines w:val="0"/>
        <w:widowControl/>
        <w:suppressLineNumbers w:val="0"/>
        <w:spacing w:before="0" w:beforeAutospacing="0" w:after="0" w:afterAutospacing="0"/>
        <w:ind w:left="0" w:right="0"/>
        <w:jc w:val="left"/>
      </w:pPr>
      <w:r>
        <w:rPr>
          <w:rFonts w:ascii="宋体" w:hAnsi="宋体" w:eastAsia="宋体" w:cs="宋体"/>
          <w:color w:val="222222"/>
          <w:kern w:val="0"/>
          <w:sz w:val="25"/>
          <w:szCs w:val="25"/>
          <w:lang w:val="en-US" w:eastAsia="zh-CN" w:bidi="ar"/>
        </w:rPr>
        <w:drawing>
          <wp:inline distT="0" distB="0" distL="114300" distR="114300">
            <wp:extent cx="5548630" cy="917575"/>
            <wp:effectExtent l="0" t="0" r="13970" b="15875"/>
            <wp:docPr id="6" name="图片 6" descr="IMG_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IMG_261"/>
                    <pic:cNvPicPr>
                      <a:picLocks noChangeAspect="1"/>
                    </pic:cNvPicPr>
                  </pic:nvPicPr>
                  <pic:blipFill>
                    <a:blip r:embed="rId10"/>
                    <a:stretch>
                      <a:fillRect/>
                    </a:stretch>
                  </pic:blipFill>
                  <pic:spPr>
                    <a:xfrm>
                      <a:off x="0" y="0"/>
                      <a:ext cx="5548630" cy="917575"/>
                    </a:xfrm>
                    <a:prstGeom prst="rect">
                      <a:avLst/>
                    </a:prstGeom>
                    <a:noFill/>
                    <a:ln w="9525">
                      <a:noFill/>
                    </a:ln>
                  </pic:spPr>
                </pic:pic>
              </a:graphicData>
            </a:graphic>
          </wp:inline>
        </w:drawing>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8"/>
          <w:color w:val="222222"/>
          <w:sz w:val="25"/>
          <w:szCs w:val="25"/>
          <w:bdr w:val="none" w:color="auto" w:sz="0" w:space="0"/>
        </w:rPr>
        <w:t>答：</w:t>
      </w:r>
      <w:r>
        <w:rPr>
          <w:color w:val="222222"/>
          <w:sz w:val="25"/>
          <w:szCs w:val="25"/>
          <w:bdr w:val="none" w:color="auto" w:sz="0" w:space="0"/>
        </w:rPr>
        <w:t>建筑作为用能终端，其能源消耗占全社会能源消耗的20%左右。</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color w:val="222222"/>
          <w:sz w:val="25"/>
          <w:szCs w:val="25"/>
          <w:bdr w:val="none" w:color="auto" w:sz="0" w:space="0"/>
        </w:rPr>
        <w:t>根据电力、煤炭、燃气等能源碳排放因子，对本规范的减碳效果进行了计算评估，以便反应建筑技能标准提升后对我国建筑碳排放降低的贡献。其中居住建筑的平均碳排放强度下降6.8kgCO</w:t>
      </w:r>
      <w:r>
        <w:rPr>
          <w:color w:val="222222"/>
          <w:sz w:val="18"/>
          <w:szCs w:val="18"/>
          <w:bdr w:val="none" w:color="auto" w:sz="0" w:space="0"/>
          <w:vertAlign w:val="subscript"/>
        </w:rPr>
        <w:t>2</w:t>
      </w:r>
      <w:r>
        <w:rPr>
          <w:color w:val="222222"/>
          <w:sz w:val="25"/>
          <w:szCs w:val="25"/>
          <w:bdr w:val="none" w:color="auto" w:sz="0" w:space="0"/>
        </w:rPr>
        <w:t>/(㎡*a)，公共建筑平均碳排放强度下降10.5kgCO</w:t>
      </w:r>
      <w:r>
        <w:rPr>
          <w:color w:val="222222"/>
          <w:sz w:val="18"/>
          <w:szCs w:val="18"/>
          <w:bdr w:val="none" w:color="auto" w:sz="0" w:space="0"/>
          <w:vertAlign w:val="subscript"/>
        </w:rPr>
        <w:t>2</w:t>
      </w:r>
      <w:r>
        <w:rPr>
          <w:color w:val="222222"/>
          <w:sz w:val="25"/>
          <w:szCs w:val="25"/>
          <w:bdr w:val="none" w:color="auto" w:sz="0" w:space="0"/>
        </w:rPr>
        <w:t>/(㎡*a)。</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color w:val="222222"/>
          <w:sz w:val="25"/>
          <w:szCs w:val="25"/>
          <w:bdr w:val="none" w:color="auto" w:sz="0" w:space="0"/>
        </w:rPr>
        <w:t>7kgCO</w:t>
      </w:r>
      <w:r>
        <w:rPr>
          <w:color w:val="222222"/>
          <w:sz w:val="18"/>
          <w:szCs w:val="18"/>
          <w:bdr w:val="none" w:color="auto" w:sz="0" w:space="0"/>
          <w:vertAlign w:val="subscript"/>
        </w:rPr>
        <w:t>2</w:t>
      </w:r>
      <w:r>
        <w:rPr>
          <w:color w:val="222222"/>
          <w:sz w:val="25"/>
          <w:szCs w:val="25"/>
          <w:bdr w:val="none" w:color="auto" w:sz="0" w:space="0"/>
        </w:rPr>
        <w:t>/(㎡*a)作为一个全国水平的平均值。</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8"/>
          <w:color w:val="222222"/>
          <w:sz w:val="25"/>
          <w:szCs w:val="25"/>
          <w:bdr w:val="none" w:color="auto" w:sz="0" w:space="0"/>
        </w:rPr>
        <w:t>问题五</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rStyle w:val="8"/>
          <w:color w:val="222222"/>
          <w:sz w:val="25"/>
          <w:szCs w:val="25"/>
          <w:bdr w:val="none" w:color="auto" w:sz="0" w:space="0"/>
        </w:rPr>
        <w:t>该标准中哪些条文可以权衡，哪些不能权衡？</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8"/>
          <w:color w:val="222222"/>
          <w:sz w:val="25"/>
          <w:szCs w:val="25"/>
          <w:bdr w:val="none" w:color="auto" w:sz="0" w:space="0"/>
        </w:rPr>
        <w:t>答：</w:t>
      </w:r>
    </w:p>
    <w:p>
      <w:pPr>
        <w:keepNext w:val="0"/>
        <w:keepLines w:val="0"/>
        <w:widowControl/>
        <w:suppressLineNumbers w:val="0"/>
        <w:spacing w:before="0" w:beforeAutospacing="0" w:after="0" w:afterAutospacing="0"/>
        <w:ind w:left="0" w:right="0"/>
        <w:jc w:val="left"/>
      </w:pPr>
      <w:r>
        <w:rPr>
          <w:rFonts w:ascii="宋体" w:hAnsi="宋体" w:eastAsia="宋体" w:cs="宋体"/>
          <w:color w:val="222222"/>
          <w:kern w:val="0"/>
          <w:sz w:val="25"/>
          <w:szCs w:val="25"/>
          <w:lang w:val="en-US" w:eastAsia="zh-CN" w:bidi="ar"/>
        </w:rPr>
        <w:drawing>
          <wp:inline distT="0" distB="0" distL="114300" distR="114300">
            <wp:extent cx="5506720" cy="1211580"/>
            <wp:effectExtent l="0" t="0" r="17780" b="7620"/>
            <wp:docPr id="7" name="图片 7" descr="IMG_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IMG_262"/>
                    <pic:cNvPicPr>
                      <a:picLocks noChangeAspect="1"/>
                    </pic:cNvPicPr>
                  </pic:nvPicPr>
                  <pic:blipFill>
                    <a:blip r:embed="rId11"/>
                    <a:stretch>
                      <a:fillRect/>
                    </a:stretch>
                  </pic:blipFill>
                  <pic:spPr>
                    <a:xfrm>
                      <a:off x="0" y="0"/>
                      <a:ext cx="5506720" cy="1211580"/>
                    </a:xfrm>
                    <a:prstGeom prst="rect">
                      <a:avLst/>
                    </a:prstGeom>
                    <a:noFill/>
                    <a:ln w="9525">
                      <a:noFill/>
                    </a:ln>
                  </pic:spPr>
                </pic:pic>
              </a:graphicData>
            </a:graphic>
          </wp:inline>
        </w:drawing>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color w:val="222222"/>
          <w:sz w:val="25"/>
          <w:szCs w:val="25"/>
          <w:bdr w:val="none" w:color="auto" w:sz="0" w:space="0"/>
        </w:rPr>
        <w:t>下表中列出了可权衡与不可权衡的条文要求，当不满足标准中给定的限值时，可权衡条文可以进一步通过权衡来达标，而不可权衡条文必须通过修改建筑方案或材料使其达到标准要求方可。</w:t>
      </w:r>
    </w:p>
    <w:p>
      <w:pPr>
        <w:keepNext w:val="0"/>
        <w:keepLines w:val="0"/>
        <w:widowControl/>
        <w:suppressLineNumbers w:val="0"/>
        <w:spacing w:before="0" w:beforeAutospacing="0" w:after="0" w:afterAutospacing="0"/>
        <w:ind w:left="0" w:right="0"/>
        <w:jc w:val="left"/>
      </w:pPr>
      <w:r>
        <w:rPr>
          <w:rFonts w:ascii="宋体" w:hAnsi="宋体" w:eastAsia="宋体" w:cs="宋体"/>
          <w:color w:val="222222"/>
          <w:kern w:val="0"/>
          <w:sz w:val="25"/>
          <w:szCs w:val="25"/>
          <w:bdr w:val="none" w:color="auto" w:sz="0" w:space="0"/>
          <w:lang w:val="en-US" w:eastAsia="zh-CN" w:bidi="ar"/>
        </w:rPr>
        <w:drawing>
          <wp:inline distT="0" distB="0" distL="114300" distR="114300">
            <wp:extent cx="5400675" cy="2466975"/>
            <wp:effectExtent l="0" t="0" r="9525" b="9525"/>
            <wp:docPr id="8" name="图片 8" descr="IMG_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IMG_263"/>
                    <pic:cNvPicPr>
                      <a:picLocks noChangeAspect="1"/>
                    </pic:cNvPicPr>
                  </pic:nvPicPr>
                  <pic:blipFill>
                    <a:blip r:embed="rId12"/>
                    <a:stretch>
                      <a:fillRect/>
                    </a:stretch>
                  </pic:blipFill>
                  <pic:spPr>
                    <a:xfrm>
                      <a:off x="0" y="0"/>
                      <a:ext cx="5400675" cy="2466975"/>
                    </a:xfrm>
                    <a:prstGeom prst="rect">
                      <a:avLst/>
                    </a:prstGeom>
                    <a:noFill/>
                    <a:ln w="9525">
                      <a:noFill/>
                    </a:ln>
                  </pic:spPr>
                </pic:pic>
              </a:graphicData>
            </a:graphic>
          </wp:inline>
        </w:drawing>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8"/>
          <w:color w:val="222222"/>
          <w:sz w:val="25"/>
          <w:szCs w:val="25"/>
          <w:bdr w:val="none" w:color="auto" w:sz="0" w:space="0"/>
        </w:rPr>
        <w:t>问题六</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rStyle w:val="8"/>
          <w:color w:val="222222"/>
          <w:sz w:val="25"/>
          <w:szCs w:val="25"/>
          <w:bdr w:val="none" w:color="auto" w:sz="0" w:space="0"/>
        </w:rPr>
        <w:t>体形系数的要求及计算规则变动。</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8"/>
          <w:color w:val="222222"/>
          <w:sz w:val="25"/>
          <w:szCs w:val="25"/>
          <w:bdr w:val="none" w:color="auto" w:sz="0" w:space="0"/>
        </w:rPr>
        <w:t>答：</w:t>
      </w:r>
    </w:p>
    <w:p>
      <w:pPr>
        <w:keepNext w:val="0"/>
        <w:keepLines w:val="0"/>
        <w:widowControl/>
        <w:suppressLineNumbers w:val="0"/>
        <w:spacing w:before="0" w:beforeAutospacing="0" w:after="0" w:afterAutospacing="0"/>
        <w:ind w:left="0" w:right="0"/>
        <w:jc w:val="left"/>
      </w:pPr>
      <w:r>
        <w:rPr>
          <w:rFonts w:ascii="宋体" w:hAnsi="宋体" w:eastAsia="宋体" w:cs="宋体"/>
          <w:color w:val="222222"/>
          <w:kern w:val="0"/>
          <w:sz w:val="25"/>
          <w:szCs w:val="25"/>
          <w:bdr w:val="none" w:color="auto" w:sz="0" w:space="0"/>
          <w:lang w:val="en-US" w:eastAsia="zh-CN" w:bidi="ar"/>
        </w:rPr>
        <w:drawing>
          <wp:inline distT="0" distB="0" distL="114300" distR="114300">
            <wp:extent cx="5191125" cy="2514600"/>
            <wp:effectExtent l="0" t="0" r="9525" b="0"/>
            <wp:docPr id="9" name="图片 9" descr="IMG_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IMG_264"/>
                    <pic:cNvPicPr>
                      <a:picLocks noChangeAspect="1"/>
                    </pic:cNvPicPr>
                  </pic:nvPicPr>
                  <pic:blipFill>
                    <a:blip r:embed="rId13"/>
                    <a:stretch>
                      <a:fillRect/>
                    </a:stretch>
                  </pic:blipFill>
                  <pic:spPr>
                    <a:xfrm>
                      <a:off x="0" y="0"/>
                      <a:ext cx="5191125" cy="2514600"/>
                    </a:xfrm>
                    <a:prstGeom prst="rect">
                      <a:avLst/>
                    </a:prstGeom>
                    <a:noFill/>
                    <a:ln w="9525">
                      <a:noFill/>
                    </a:ln>
                  </pic:spPr>
                </pic:pic>
              </a:graphicData>
            </a:graphic>
          </wp:inline>
        </w:drawing>
      </w:r>
      <w:r>
        <w:rPr>
          <w:rFonts w:ascii="宋体" w:hAnsi="宋体" w:eastAsia="宋体" w:cs="宋体"/>
          <w:color w:val="222222"/>
          <w:kern w:val="0"/>
          <w:sz w:val="25"/>
          <w:szCs w:val="25"/>
          <w:bdr w:val="none" w:color="auto" w:sz="0" w:space="0"/>
          <w:lang w:val="en-US" w:eastAsia="zh-CN" w:bidi="ar"/>
        </w:rPr>
        <w:drawing>
          <wp:inline distT="0" distB="0" distL="114300" distR="114300">
            <wp:extent cx="5192395" cy="1177925"/>
            <wp:effectExtent l="0" t="0" r="8255" b="3175"/>
            <wp:docPr id="10" name="图片 10" descr="IMG_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IMG_265"/>
                    <pic:cNvPicPr>
                      <a:picLocks noChangeAspect="1"/>
                    </pic:cNvPicPr>
                  </pic:nvPicPr>
                  <pic:blipFill>
                    <a:blip r:embed="rId14"/>
                    <a:stretch>
                      <a:fillRect/>
                    </a:stretch>
                  </pic:blipFill>
                  <pic:spPr>
                    <a:xfrm>
                      <a:off x="0" y="0"/>
                      <a:ext cx="5192395" cy="1177925"/>
                    </a:xfrm>
                    <a:prstGeom prst="rect">
                      <a:avLst/>
                    </a:prstGeom>
                    <a:noFill/>
                    <a:ln w="9525">
                      <a:noFill/>
                    </a:ln>
                  </pic:spPr>
                </pic:pic>
              </a:graphicData>
            </a:graphic>
          </wp:inline>
        </w:drawing>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both"/>
      </w:pPr>
      <w:r>
        <w:rPr>
          <w:rStyle w:val="8"/>
          <w:color w:val="222222"/>
          <w:sz w:val="25"/>
          <w:szCs w:val="25"/>
          <w:bdr w:val="none" w:color="auto" w:sz="0" w:space="0"/>
        </w:rPr>
        <w:t>►居建体形系数：</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color w:val="222222"/>
          <w:sz w:val="25"/>
          <w:szCs w:val="25"/>
          <w:bdr w:val="none" w:color="auto" w:sz="0" w:space="0"/>
        </w:rPr>
        <w:t>不满足</w:t>
      </w:r>
      <w:r>
        <w:rPr>
          <w:color w:val="D51824"/>
          <w:sz w:val="25"/>
          <w:szCs w:val="25"/>
          <w:bdr w:val="none" w:color="auto" w:sz="0" w:space="0"/>
        </w:rPr>
        <w:t>可权衡</w:t>
      </w:r>
      <w:r>
        <w:rPr>
          <w:color w:val="3E3E3E"/>
          <w:sz w:val="25"/>
          <w:szCs w:val="25"/>
          <w:bdr w:val="none" w:color="auto" w:sz="0" w:space="0"/>
        </w:rPr>
        <w:t>，</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color w:val="222222"/>
          <w:sz w:val="25"/>
          <w:szCs w:val="25"/>
          <w:bdr w:val="none" w:color="auto" w:sz="0" w:space="0"/>
        </w:rPr>
        <w:t>外表面积计算——不包含地面和不供暖楼梯间内墙的面积。</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color w:val="222222"/>
          <w:sz w:val="25"/>
          <w:szCs w:val="25"/>
          <w:bdr w:val="none" w:color="auto" w:sz="0" w:space="0"/>
        </w:rPr>
        <w:t>建筑面积——按照各层外墙外包线围成的平面面积的总和计算。包括半地下室面积，不包括地下室面积。</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both"/>
      </w:pPr>
      <w:r>
        <w:rPr>
          <w:rStyle w:val="8"/>
          <w:color w:val="222222"/>
          <w:sz w:val="25"/>
          <w:szCs w:val="25"/>
          <w:bdr w:val="none" w:color="auto" w:sz="0" w:space="0"/>
        </w:rPr>
        <w:t>►公建体形系数：</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color w:val="222222"/>
          <w:sz w:val="25"/>
          <w:szCs w:val="25"/>
          <w:bdr w:val="none" w:color="auto" w:sz="0" w:space="0"/>
        </w:rPr>
        <w:t>不满足</w:t>
      </w:r>
      <w:r>
        <w:rPr>
          <w:color w:val="D51824"/>
          <w:sz w:val="25"/>
          <w:szCs w:val="25"/>
          <w:bdr w:val="none" w:color="auto" w:sz="0" w:space="0"/>
        </w:rPr>
        <w:t>不可权衡</w:t>
      </w:r>
      <w:r>
        <w:rPr>
          <w:color w:val="3E3E3E"/>
          <w:sz w:val="25"/>
          <w:szCs w:val="25"/>
          <w:bdr w:val="none" w:color="auto" w:sz="0" w:space="0"/>
        </w:rPr>
        <w:t>，</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color w:val="222222"/>
          <w:sz w:val="25"/>
          <w:szCs w:val="25"/>
          <w:bdr w:val="none" w:color="auto" w:sz="0" w:space="0"/>
        </w:rPr>
        <w:t>仅对严寒和寒冷地区有要求，其他气候区不做要求。</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color w:val="222222"/>
          <w:sz w:val="25"/>
          <w:szCs w:val="25"/>
          <w:bdr w:val="none" w:color="auto" w:sz="0" w:space="0"/>
        </w:rPr>
        <w:t>建筑面积——</w:t>
      </w:r>
      <w:r>
        <w:rPr>
          <w:color w:val="D51824"/>
          <w:sz w:val="25"/>
          <w:szCs w:val="25"/>
          <w:bdr w:val="none" w:color="auto" w:sz="0" w:space="0"/>
        </w:rPr>
        <w:t>按照地上建筑面积划分</w:t>
      </w:r>
      <w:r>
        <w:rPr>
          <w:color w:val="222222"/>
          <w:sz w:val="25"/>
          <w:szCs w:val="25"/>
          <w:bdr w:val="none" w:color="auto" w:sz="0" w:space="0"/>
        </w:rPr>
        <w:t>（PS:公建国标2015的建筑面积是地上+半地下面积）</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8"/>
          <w:color w:val="222222"/>
          <w:sz w:val="25"/>
          <w:szCs w:val="25"/>
          <w:bdr w:val="none" w:color="auto" w:sz="0" w:space="0"/>
        </w:rPr>
        <w:t>问题七</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rStyle w:val="8"/>
          <w:color w:val="222222"/>
          <w:sz w:val="25"/>
          <w:szCs w:val="25"/>
          <w:bdr w:val="none" w:color="auto" w:sz="0" w:space="0"/>
        </w:rPr>
        <w:t>公居建的窗墙比怎样判定，哪些房间参与判定？</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8"/>
          <w:color w:val="222222"/>
          <w:sz w:val="25"/>
          <w:szCs w:val="25"/>
          <w:bdr w:val="none" w:color="auto" w:sz="0" w:space="0"/>
        </w:rPr>
        <w:t>答：</w:t>
      </w:r>
    </w:p>
    <w:p>
      <w:pPr>
        <w:keepNext w:val="0"/>
        <w:keepLines w:val="0"/>
        <w:widowControl/>
        <w:suppressLineNumbers w:val="0"/>
        <w:spacing w:before="0" w:beforeAutospacing="0" w:after="0" w:afterAutospacing="0"/>
        <w:ind w:left="0" w:right="0"/>
        <w:jc w:val="left"/>
      </w:pPr>
      <w:r>
        <w:rPr>
          <w:rFonts w:ascii="宋体" w:hAnsi="宋体" w:eastAsia="宋体" w:cs="宋体"/>
          <w:color w:val="222222"/>
          <w:kern w:val="0"/>
          <w:sz w:val="25"/>
          <w:szCs w:val="25"/>
          <w:bdr w:val="none" w:color="auto" w:sz="0" w:space="0"/>
          <w:lang w:val="en-US" w:eastAsia="zh-CN" w:bidi="ar"/>
        </w:rPr>
        <w:drawing>
          <wp:inline distT="0" distB="0" distL="114300" distR="114300">
            <wp:extent cx="5725160" cy="985520"/>
            <wp:effectExtent l="0" t="0" r="8890" b="5080"/>
            <wp:docPr id="11" name="图片 11" descr="IMG_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IMG_266"/>
                    <pic:cNvPicPr>
                      <a:picLocks noChangeAspect="1"/>
                    </pic:cNvPicPr>
                  </pic:nvPicPr>
                  <pic:blipFill>
                    <a:blip r:embed="rId15"/>
                    <a:stretch>
                      <a:fillRect/>
                    </a:stretch>
                  </pic:blipFill>
                  <pic:spPr>
                    <a:xfrm>
                      <a:off x="0" y="0"/>
                      <a:ext cx="5725160" cy="985520"/>
                    </a:xfrm>
                    <a:prstGeom prst="rect">
                      <a:avLst/>
                    </a:prstGeom>
                    <a:noFill/>
                    <a:ln w="9525">
                      <a:noFill/>
                    </a:ln>
                  </pic:spPr>
                </pic:pic>
              </a:graphicData>
            </a:graphic>
          </wp:inline>
        </w:drawing>
      </w:r>
      <w:r>
        <w:rPr>
          <w:rFonts w:ascii="宋体" w:hAnsi="宋体" w:eastAsia="宋体" w:cs="宋体"/>
          <w:color w:val="222222"/>
          <w:kern w:val="0"/>
          <w:sz w:val="25"/>
          <w:szCs w:val="25"/>
          <w:lang w:val="en-US" w:eastAsia="zh-CN" w:bidi="ar"/>
        </w:rPr>
        <w:drawing>
          <wp:inline distT="0" distB="0" distL="114300" distR="114300">
            <wp:extent cx="5562600" cy="2033905"/>
            <wp:effectExtent l="0" t="0" r="0" b="4445"/>
            <wp:docPr id="12" name="图片 12" descr="IMG_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IMG_267"/>
                    <pic:cNvPicPr>
                      <a:picLocks noChangeAspect="1"/>
                    </pic:cNvPicPr>
                  </pic:nvPicPr>
                  <pic:blipFill>
                    <a:blip r:embed="rId16"/>
                    <a:stretch>
                      <a:fillRect/>
                    </a:stretch>
                  </pic:blipFill>
                  <pic:spPr>
                    <a:xfrm>
                      <a:off x="0" y="0"/>
                      <a:ext cx="5562600" cy="2033905"/>
                    </a:xfrm>
                    <a:prstGeom prst="rect">
                      <a:avLst/>
                    </a:prstGeom>
                    <a:noFill/>
                    <a:ln w="9525">
                      <a:noFill/>
                    </a:ln>
                  </pic:spPr>
                </pic:pic>
              </a:graphicData>
            </a:graphic>
          </wp:inline>
        </w:drawing>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D51824"/>
          <w:sz w:val="25"/>
          <w:szCs w:val="25"/>
          <w:bdr w:val="none" w:color="auto" w:sz="0" w:space="0"/>
        </w:rPr>
        <w:t>窗墙比计算规则：</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8"/>
          <w:color w:val="222222"/>
          <w:sz w:val="25"/>
          <w:szCs w:val="25"/>
          <w:bdr w:val="none" w:color="auto" w:sz="0" w:space="0"/>
        </w:rPr>
        <w:t>►凸凹立面朝向</w:t>
      </w:r>
      <w:r>
        <w:rPr>
          <w:color w:val="222222"/>
          <w:sz w:val="25"/>
          <w:szCs w:val="25"/>
          <w:bdr w:val="none" w:color="auto" w:sz="0" w:space="0"/>
        </w:rPr>
        <w:t>——按其所在的立面进行判断；</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8"/>
          <w:color w:val="222222"/>
          <w:sz w:val="25"/>
          <w:szCs w:val="25"/>
          <w:bdr w:val="none" w:color="auto" w:sz="0" w:space="0"/>
        </w:rPr>
        <w:t>►凸窗</w:t>
      </w:r>
      <w:r>
        <w:rPr>
          <w:color w:val="222222"/>
          <w:sz w:val="25"/>
          <w:szCs w:val="25"/>
          <w:bdr w:val="none" w:color="auto" w:sz="0" w:space="0"/>
        </w:rPr>
        <w:t>——面积按照洞口计算；</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222222"/>
          <w:sz w:val="25"/>
          <w:szCs w:val="25"/>
          <w:bdr w:val="none" w:color="auto" w:sz="0" w:space="0"/>
        </w:rPr>
        <w:t>            顶部、底部和侧墙的面积不计入外墙面积；</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8"/>
          <w:color w:val="222222"/>
          <w:sz w:val="25"/>
          <w:szCs w:val="25"/>
          <w:bdr w:val="none" w:color="auto" w:sz="0" w:space="0"/>
        </w:rPr>
        <w:t>►楼梯间和电梯间</w:t>
      </w:r>
      <w:r>
        <w:rPr>
          <w:color w:val="222222"/>
          <w:sz w:val="25"/>
          <w:szCs w:val="25"/>
          <w:bdr w:val="none" w:color="auto" w:sz="0" w:space="0"/>
        </w:rPr>
        <w:t>——外墙和外窗参与计算。（即该类房间需要进行判定窗墙比）</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8"/>
          <w:color w:val="222222"/>
          <w:sz w:val="25"/>
          <w:szCs w:val="25"/>
          <w:bdr w:val="none" w:color="auto" w:sz="0" w:space="0"/>
        </w:rPr>
        <w:t>►窗墙比判定方式</w:t>
      </w:r>
      <w:r>
        <w:rPr>
          <w:color w:val="222222"/>
          <w:sz w:val="25"/>
          <w:szCs w:val="25"/>
          <w:bdr w:val="none" w:color="auto" w:sz="0" w:space="0"/>
        </w:rPr>
        <w:t>：</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color w:val="222222"/>
          <w:sz w:val="25"/>
          <w:szCs w:val="25"/>
          <w:bdr w:val="none" w:color="auto" w:sz="0" w:space="0"/>
        </w:rPr>
        <w:t>●居建：判定开间窗墙比——限值见上表3.1.4</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color w:val="222222"/>
          <w:sz w:val="25"/>
          <w:szCs w:val="25"/>
          <w:bdr w:val="none" w:color="auto" w:sz="0" w:space="0"/>
        </w:rPr>
        <w:t>●公建：按照单一立面朝向计算——标准无限值要求</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color w:val="222222"/>
          <w:sz w:val="25"/>
          <w:szCs w:val="25"/>
          <w:bdr w:val="none" w:color="auto" w:sz="0" w:space="0"/>
        </w:rPr>
        <w:t>●工业建筑：按照所有立面计算</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8"/>
          <w:color w:val="222222"/>
          <w:sz w:val="25"/>
          <w:szCs w:val="25"/>
          <w:bdr w:val="none" w:color="auto" w:sz="0" w:space="0"/>
        </w:rPr>
        <w:t>问题八</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rStyle w:val="8"/>
          <w:color w:val="222222"/>
          <w:sz w:val="25"/>
          <w:szCs w:val="25"/>
          <w:bdr w:val="none" w:color="auto" w:sz="0" w:space="0"/>
        </w:rPr>
        <w:t>同样的模型，同样的指北针角度，为什么换了标准后没有南向了？</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8"/>
          <w:color w:val="222222"/>
          <w:sz w:val="25"/>
          <w:szCs w:val="25"/>
          <w:bdr w:val="none" w:color="auto" w:sz="0" w:space="0"/>
        </w:rPr>
        <w:t>答：</w:t>
      </w:r>
      <w:r>
        <w:rPr>
          <w:color w:val="222222"/>
          <w:sz w:val="25"/>
          <w:szCs w:val="25"/>
          <w:bdr w:val="none" w:color="auto" w:sz="0" w:space="0"/>
        </w:rPr>
        <w:t>通用规范中重新规定了朝向角度的划分，和之前标准有较大的出入。</w:t>
      </w:r>
    </w:p>
    <w:p>
      <w:pPr>
        <w:keepNext w:val="0"/>
        <w:keepLines w:val="0"/>
        <w:widowControl/>
        <w:suppressLineNumbers w:val="0"/>
        <w:spacing w:before="0" w:beforeAutospacing="0" w:after="0" w:afterAutospacing="0"/>
        <w:ind w:left="0" w:right="0"/>
        <w:jc w:val="left"/>
      </w:pPr>
      <w:r>
        <w:rPr>
          <w:rFonts w:ascii="宋体" w:hAnsi="宋体" w:eastAsia="宋体" w:cs="宋体"/>
          <w:color w:val="222222"/>
          <w:kern w:val="0"/>
          <w:sz w:val="25"/>
          <w:szCs w:val="25"/>
          <w:bdr w:val="none" w:color="auto" w:sz="0" w:space="0"/>
          <w:lang w:val="en-US" w:eastAsia="zh-CN" w:bidi="ar"/>
        </w:rPr>
        <w:drawing>
          <wp:inline distT="0" distB="0" distL="114300" distR="114300">
            <wp:extent cx="5210175" cy="2532380"/>
            <wp:effectExtent l="0" t="0" r="9525" b="1270"/>
            <wp:docPr id="13" name="图片 13" descr="IMG_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descr="IMG_268"/>
                    <pic:cNvPicPr>
                      <a:picLocks noChangeAspect="1"/>
                    </pic:cNvPicPr>
                  </pic:nvPicPr>
                  <pic:blipFill>
                    <a:blip r:embed="rId17"/>
                    <a:stretch>
                      <a:fillRect/>
                    </a:stretch>
                  </pic:blipFill>
                  <pic:spPr>
                    <a:xfrm>
                      <a:off x="0" y="0"/>
                      <a:ext cx="5210175" cy="2532380"/>
                    </a:xfrm>
                    <a:prstGeom prst="rect">
                      <a:avLst/>
                    </a:prstGeom>
                    <a:noFill/>
                    <a:ln w="9525">
                      <a:noFill/>
                    </a:ln>
                  </pic:spPr>
                </pic:pic>
              </a:graphicData>
            </a:graphic>
          </wp:inline>
        </w:drawing>
      </w:r>
    </w:p>
    <w:tbl>
      <w:tblPr>
        <w:tblW w:w="827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208"/>
        <w:gridCol w:w="407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trHeight w:val="3960" w:hRule="atLeast"/>
        </w:trPr>
        <w:tc>
          <w:tcPr>
            <w:tcW w:w="2541" w:type="pct"/>
            <w:tcBorders>
              <w:top w:val="single" w:color="3E3E3E" w:sz="6" w:space="0"/>
              <w:left w:val="single" w:color="3E3E3E" w:sz="6" w:space="0"/>
              <w:bottom w:val="single" w:color="3E3E3E" w:sz="6" w:space="0"/>
              <w:right w:val="single" w:color="3E3E3E" w:sz="6" w:space="0"/>
            </w:tcBorders>
            <w:shd w:val="clear"/>
            <w:vAlign w:val="center"/>
          </w:tcPr>
          <w:p>
            <w:pPr>
              <w:keepNext w:val="0"/>
              <w:keepLines w:val="0"/>
              <w:widowControl/>
              <w:suppressLineNumbers w:val="0"/>
              <w:wordWrap w:val="0"/>
              <w:spacing w:before="0" w:beforeAutospacing="0" w:after="0" w:afterAutospacing="0"/>
              <w:ind w:left="0" w:right="0"/>
              <w:jc w:val="left"/>
            </w:pPr>
            <w:r>
              <w:rPr>
                <w:rFonts w:ascii="宋体" w:hAnsi="宋体" w:eastAsia="宋体" w:cs="宋体"/>
                <w:kern w:val="0"/>
                <w:sz w:val="24"/>
                <w:szCs w:val="24"/>
                <w:lang w:val="en-US" w:eastAsia="zh-CN" w:bidi="ar"/>
              </w:rPr>
              <w:drawing>
                <wp:inline distT="0" distB="0" distL="114300" distR="114300">
                  <wp:extent cx="2353310" cy="2346960"/>
                  <wp:effectExtent l="0" t="0" r="8890" b="15240"/>
                  <wp:docPr id="14" name="图片 14" descr="IMG_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descr="IMG_269"/>
                          <pic:cNvPicPr>
                            <a:picLocks noChangeAspect="1"/>
                          </pic:cNvPicPr>
                        </pic:nvPicPr>
                        <pic:blipFill>
                          <a:blip r:embed="rId18"/>
                          <a:stretch>
                            <a:fillRect/>
                          </a:stretch>
                        </pic:blipFill>
                        <pic:spPr>
                          <a:xfrm>
                            <a:off x="0" y="0"/>
                            <a:ext cx="2353310" cy="2346960"/>
                          </a:xfrm>
                          <a:prstGeom prst="rect">
                            <a:avLst/>
                          </a:prstGeom>
                          <a:noFill/>
                          <a:ln w="9525">
                            <a:noFill/>
                          </a:ln>
                        </pic:spPr>
                      </pic:pic>
                    </a:graphicData>
                  </a:graphic>
                </wp:inline>
              </w:drawing>
            </w:r>
          </w:p>
        </w:tc>
        <w:tc>
          <w:tcPr>
            <w:tcW w:w="2458" w:type="pct"/>
            <w:tcBorders>
              <w:top w:val="single" w:color="3E3E3E" w:sz="6" w:space="0"/>
              <w:left w:val="single" w:color="3E3E3E" w:sz="6" w:space="0"/>
              <w:bottom w:val="single" w:color="3E3E3E" w:sz="6" w:space="0"/>
              <w:right w:val="single" w:color="3E3E3E" w:sz="6" w:space="0"/>
            </w:tcBorders>
            <w:shd w:val="clear"/>
            <w:vAlign w:val="center"/>
          </w:tcPr>
          <w:p>
            <w:pPr>
              <w:keepNext w:val="0"/>
              <w:keepLines w:val="0"/>
              <w:widowControl/>
              <w:suppressLineNumbers w:val="0"/>
              <w:wordWrap w:val="0"/>
              <w:spacing w:before="0" w:beforeAutospacing="0" w:after="0" w:afterAutospacing="0"/>
              <w:ind w:left="0" w:right="0"/>
              <w:jc w:val="left"/>
            </w:pPr>
            <w:r>
              <w:rPr>
                <w:rFonts w:ascii="宋体" w:hAnsi="宋体" w:eastAsia="宋体" w:cs="宋体"/>
                <w:kern w:val="0"/>
                <w:sz w:val="24"/>
                <w:szCs w:val="24"/>
                <w:bdr w:val="none" w:color="auto" w:sz="0" w:space="0"/>
                <w:lang w:val="en-US" w:eastAsia="zh-CN" w:bidi="ar"/>
              </w:rPr>
              <w:drawing>
                <wp:inline distT="0" distB="0" distL="114300" distR="114300">
                  <wp:extent cx="2391410" cy="2391410"/>
                  <wp:effectExtent l="0" t="0" r="8890" b="8890"/>
                  <wp:docPr id="15" name="图片 15" descr="IMG_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IMG_270"/>
                          <pic:cNvPicPr>
                            <a:picLocks noChangeAspect="1"/>
                          </pic:cNvPicPr>
                        </pic:nvPicPr>
                        <pic:blipFill>
                          <a:blip r:embed="rId19"/>
                          <a:stretch>
                            <a:fillRect/>
                          </a:stretch>
                        </pic:blipFill>
                        <pic:spPr>
                          <a:xfrm>
                            <a:off x="0" y="0"/>
                            <a:ext cx="2391410" cy="2391410"/>
                          </a:xfrm>
                          <a:prstGeom prst="rect">
                            <a:avLst/>
                          </a:prstGeom>
                          <a:noFill/>
                          <a:ln w="9525">
                            <a:noFill/>
                          </a:ln>
                        </pic:spPr>
                      </pic:pic>
                    </a:graphicData>
                  </a:graphic>
                </wp:inline>
              </w:drawing>
            </w:r>
          </w:p>
        </w:tc>
      </w:tr>
    </w:tbl>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8"/>
          <w:color w:val="222222"/>
          <w:sz w:val="25"/>
          <w:szCs w:val="25"/>
          <w:bdr w:val="none" w:color="auto" w:sz="0" w:space="0"/>
        </w:rPr>
        <w:t>问题九</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rStyle w:val="8"/>
          <w:color w:val="222222"/>
          <w:sz w:val="25"/>
          <w:szCs w:val="25"/>
          <w:bdr w:val="none" w:color="auto" w:sz="0" w:space="0"/>
        </w:rPr>
        <w:t>如何查看整个建筑的能耗？</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8"/>
          <w:color w:val="222222"/>
          <w:sz w:val="25"/>
          <w:szCs w:val="25"/>
          <w:bdr w:val="none" w:color="auto" w:sz="0" w:space="0"/>
        </w:rPr>
        <w:t>答：</w:t>
      </w:r>
      <w:r>
        <w:rPr>
          <w:color w:val="222222"/>
          <w:sz w:val="25"/>
          <w:szCs w:val="25"/>
          <w:bdr w:val="none" w:color="auto" w:sz="0" w:space="0"/>
        </w:rPr>
        <w:t>建筑能耗需要计算权衡，而生成权衡报告的前提是权衡强条都是通过的，其中，乙类建筑不允许权衡，必须全部满足标准条文的规定。3.1.10-3.1.11条文说明：</w:t>
      </w:r>
    </w:p>
    <w:p>
      <w:pPr>
        <w:keepNext w:val="0"/>
        <w:keepLines w:val="0"/>
        <w:widowControl/>
        <w:suppressLineNumbers w:val="0"/>
        <w:spacing w:before="0" w:beforeAutospacing="0" w:after="0" w:afterAutospacing="0"/>
        <w:ind w:left="0" w:right="0"/>
        <w:jc w:val="left"/>
      </w:pPr>
      <w:r>
        <w:rPr>
          <w:rFonts w:ascii="宋体" w:hAnsi="宋体" w:eastAsia="宋体" w:cs="宋体"/>
          <w:color w:val="222222"/>
          <w:kern w:val="0"/>
          <w:sz w:val="25"/>
          <w:szCs w:val="25"/>
          <w:bdr w:val="none" w:color="auto" w:sz="0" w:space="0"/>
          <w:lang w:val="en-US" w:eastAsia="zh-CN" w:bidi="ar"/>
        </w:rPr>
        <w:drawing>
          <wp:inline distT="0" distB="0" distL="114300" distR="114300">
            <wp:extent cx="5258435" cy="673100"/>
            <wp:effectExtent l="0" t="0" r="18415" b="12700"/>
            <wp:docPr id="16" name="图片 16" descr="IMG_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IMG_271"/>
                    <pic:cNvPicPr>
                      <a:picLocks noChangeAspect="1"/>
                    </pic:cNvPicPr>
                  </pic:nvPicPr>
                  <pic:blipFill>
                    <a:blip r:embed="rId20"/>
                    <a:stretch>
                      <a:fillRect/>
                    </a:stretch>
                  </pic:blipFill>
                  <pic:spPr>
                    <a:xfrm>
                      <a:off x="0" y="0"/>
                      <a:ext cx="5258435" cy="673100"/>
                    </a:xfrm>
                    <a:prstGeom prst="rect">
                      <a:avLst/>
                    </a:prstGeom>
                    <a:noFill/>
                    <a:ln w="9525">
                      <a:noFill/>
                    </a:ln>
                  </pic:spPr>
                </pic:pic>
              </a:graphicData>
            </a:graphic>
          </wp:inline>
        </w:drawing>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8"/>
          <w:color w:val="222222"/>
          <w:sz w:val="25"/>
          <w:szCs w:val="25"/>
          <w:bdr w:val="none" w:color="auto" w:sz="0" w:space="0"/>
        </w:rPr>
        <w:t>问题十</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rStyle w:val="8"/>
          <w:color w:val="D51824"/>
          <w:sz w:val="25"/>
          <w:szCs w:val="25"/>
          <w:bdr w:val="none" w:color="auto" w:sz="0" w:space="0"/>
        </w:rPr>
        <w:t>能耗、碳排放和可再生能源计算范围包含了哪些</w:t>
      </w:r>
      <w:r>
        <w:rPr>
          <w:rStyle w:val="8"/>
          <w:color w:val="222222"/>
          <w:sz w:val="25"/>
          <w:szCs w:val="25"/>
          <w:bdr w:val="none" w:color="auto" w:sz="0" w:space="0"/>
        </w:rPr>
        <w:t>，碳排放计算是否要计算全生命周期的？</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8"/>
          <w:color w:val="222222"/>
          <w:sz w:val="25"/>
          <w:szCs w:val="25"/>
          <w:bdr w:val="none" w:color="auto" w:sz="0" w:space="0"/>
        </w:rPr>
        <w:t>答：</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8"/>
          <w:color w:val="222222"/>
          <w:sz w:val="25"/>
          <w:szCs w:val="25"/>
          <w:bdr w:val="none" w:color="auto" w:sz="0" w:space="0"/>
        </w:rPr>
        <w:t>►能耗计算范围</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color w:val="222222"/>
          <w:sz w:val="25"/>
          <w:szCs w:val="25"/>
          <w:bdr w:val="none" w:color="auto" w:sz="0" w:space="0"/>
        </w:rPr>
        <w:t>计算供暖、空调、照明、生活热水、电梯、可再生能源。炊事和插座暂不考虑。</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8"/>
          <w:color w:val="222222"/>
          <w:sz w:val="25"/>
          <w:szCs w:val="25"/>
          <w:bdr w:val="none" w:color="auto" w:sz="0" w:space="0"/>
        </w:rPr>
        <w:t>►碳排放计算范围</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color w:val="222222"/>
          <w:sz w:val="25"/>
          <w:szCs w:val="25"/>
          <w:bdr w:val="none" w:color="auto" w:sz="0" w:space="0"/>
        </w:rPr>
        <w:t>本标准计算运行阶段的碳排放，建造和建材的碳排放只作为鼓励，不做强制要求。</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8"/>
          <w:color w:val="222222"/>
          <w:sz w:val="25"/>
          <w:szCs w:val="25"/>
          <w:bdr w:val="none" w:color="auto" w:sz="0" w:space="0"/>
        </w:rPr>
        <w:t>►可再生能源计算范围</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pPr>
      <w:r>
        <w:rPr>
          <w:color w:val="222222"/>
          <w:sz w:val="25"/>
          <w:szCs w:val="25"/>
          <w:bdr w:val="none" w:color="auto" w:sz="0" w:space="0"/>
        </w:rPr>
        <w:t>强调光伏、风电、光热（空气源、土壤源、水源）热泵等。</w:t>
      </w:r>
    </w:p>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CzSVju0AAAAAUBAAAPAAAAAAAAAAEAIAAAACIAAABkcnMvZG93bnJldi54bWxQSwECFAAU&#10;AAAACACHTuJAMze1J90CAAAmBgAADgAAAAAAAAABACAAAAAfAQAAZHJzL2Uyb0RvYy54bWxQSwUG&#10;AAAAAAYABgBZAQAAbgY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A3344D6"/>
    <w:rsid w:val="5A3344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uiPriority w:val="0"/>
    <w:pPr>
      <w:spacing w:before="0" w:beforeAutospacing="1" w:after="0" w:afterAutospacing="1"/>
      <w:ind w:left="0" w:right="0"/>
      <w:jc w:val="left"/>
    </w:pPr>
    <w:rPr>
      <w:kern w:val="0"/>
      <w:sz w:val="24"/>
      <w:lang w:val="en-US" w:eastAsia="zh-CN" w:bidi="ar"/>
    </w:rPr>
  </w:style>
  <w:style w:type="character" w:styleId="8">
    <w:name w:val="Strong"/>
    <w:basedOn w:val="7"/>
    <w:qFormat/>
    <w:uiPriority w:val="0"/>
    <w:rPr>
      <w:b/>
    </w:rPr>
  </w:style>
  <w:style w:type="character" w:styleId="9">
    <w:name w:val="Emphasis"/>
    <w:basedOn w:val="7"/>
    <w:qFormat/>
    <w:uiPriority w:val="0"/>
    <w:rPr>
      <w:i/>
    </w:rPr>
  </w:style>
  <w:style w:type="character" w:styleId="10">
    <w:name w:val="Hyperlink"/>
    <w:basedOn w:val="7"/>
    <w:uiPriority w:val="0"/>
    <w:rPr>
      <w:color w:val="0000FF"/>
      <w:u w:val="single"/>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customXml" Target="../customXml/item1.xml"/><Relationship Id="rId20" Type="http://schemas.openxmlformats.org/officeDocument/2006/relationships/image" Target="media/image16.png"/><Relationship Id="rId2" Type="http://schemas.openxmlformats.org/officeDocument/2006/relationships/settings" Target="settings.xml"/><Relationship Id="rId19" Type="http://schemas.openxmlformats.org/officeDocument/2006/relationships/image" Target="media/image15.png"/><Relationship Id="rId18" Type="http://schemas.openxmlformats.org/officeDocument/2006/relationships/image" Target="media/image14.png"/><Relationship Id="rId17" Type="http://schemas.openxmlformats.org/officeDocument/2006/relationships/image" Target="media/image13.png"/><Relationship Id="rId16" Type="http://schemas.openxmlformats.org/officeDocument/2006/relationships/image" Target="media/image12.png"/><Relationship Id="rId15" Type="http://schemas.openxmlformats.org/officeDocument/2006/relationships/image" Target="media/image11.png"/><Relationship Id="rId14" Type="http://schemas.openxmlformats.org/officeDocument/2006/relationships/image" Target="media/image10.png"/><Relationship Id="rId13" Type="http://schemas.openxmlformats.org/officeDocument/2006/relationships/image" Target="media/image9.png"/><Relationship Id="rId12" Type="http://schemas.openxmlformats.org/officeDocument/2006/relationships/image" Target="media/image8.png"/><Relationship Id="rId11" Type="http://schemas.openxmlformats.org/officeDocument/2006/relationships/image" Target="media/image7.png"/><Relationship Id="rId10" Type="http://schemas.openxmlformats.org/officeDocument/2006/relationships/image" Target="media/image6.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2022-03-25T00:34:00Z</dcterms:created>
  <dc:creator>清风</dc:creator>
  <cp:lastModifiedBy>清风</cp:lastModifiedBy>
  <dcterms:modified xsi:type="dcterms:W3CDTF">2022-03-25T00:44:48Z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E7BC38321DE44DB98C4BED1B7DC96A93</vt:lpwstr>
  </property>
</Properties>
</file>