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市建委关于将“建筑产业现代化”变更为“装配式建筑”的通知</w:t>
      </w:r>
    </w:p>
    <w:p>
      <w:pPr>
        <w:jc w:val="center"/>
        <w:rPr>
          <w:rFonts w:hint="eastAsia" w:ascii="微软雅黑" w:hAnsi="微软雅黑" w:eastAsia="微软雅黑" w:cs="微软雅黑"/>
          <w:i w:val="0"/>
          <w:iCs w:val="0"/>
          <w:caps w:val="0"/>
          <w:color w:val="3D3D3D"/>
          <w:spacing w:val="0"/>
          <w:sz w:val="24"/>
          <w:szCs w:val="24"/>
          <w:bdr w:val="none" w:color="auto" w:sz="0" w:space="0"/>
          <w:shd w:val="clear" w:fill="FFFFFF"/>
        </w:rPr>
      </w:pPr>
      <w:r>
        <w:rPr>
          <w:rFonts w:hint="eastAsia" w:ascii="微软雅黑" w:hAnsi="微软雅黑" w:eastAsia="微软雅黑" w:cs="微软雅黑"/>
          <w:sz w:val="24"/>
          <w:szCs w:val="24"/>
        </w:rPr>
        <w:t>津建科[2017]42号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both"/>
        <w:rPr>
          <w:rFonts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sz w:val="24"/>
          <w:szCs w:val="24"/>
          <w:bdr w:val="none" w:color="auto" w:sz="0" w:space="0"/>
          <w:shd w:val="clear" w:fill="FFFFFF"/>
        </w:rPr>
        <w:t>滨海新区建交局，各区建委，各有关单位：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为贯彻落实《国务院办公厅关于大力发展装配式建筑的指导意见》（国办发〔2016〕71号），加快推进本市装配式建筑发展，实现建筑产业现代化工作与装配式建筑发展的有效衔接，经研究，现决定将《市建委关于在天津市建筑产业现代化项目规划条件中提供相关建设指标的通知》（津建科〔2016〕100号）、《市建委关于定期报送建筑产业现代化项目进展情况的通知》（津建科〔2016〕165号）、《市建委关于印发&lt;天津市装配整体式建筑预制装配率计算细则（试行）&gt;的通知》（津建科〔2016〕464号）、《市建委关于印发&lt;关于推进我市建筑产业现代化工作的部门分工意见&gt;的通知》（津建科〔2016〕478号）等文件中的“建筑产业现代化”统一变更</w:t>
      </w:r>
      <w:bookmarkStart w:id="0" w:name="_GoBack"/>
      <w:bookmarkEnd w:id="0"/>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为“装配式建筑”。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1384" w:firstLine="420"/>
        <w:jc w:val="right"/>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2017年2月8日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420"/>
        <w:jc w:val="both"/>
        <w:rPr>
          <w:rFonts w:hint="eastAsia" w:ascii="微软雅黑" w:hAnsi="微软雅黑" w:eastAsia="微软雅黑" w:cs="微软雅黑"/>
          <w:i w:val="0"/>
          <w:iCs w:val="0"/>
          <w:caps w:val="0"/>
          <w:color w:val="3D3D3D"/>
          <w:spacing w:val="0"/>
          <w:sz w:val="24"/>
          <w:szCs w:val="24"/>
        </w:rPr>
      </w:pPr>
      <w:r>
        <w:rPr>
          <w:rFonts w:hint="eastAsia" w:ascii="微软雅黑" w:hAnsi="微软雅黑" w:eastAsia="微软雅黑" w:cs="微软雅黑"/>
          <w:i w:val="0"/>
          <w:iCs w:val="0"/>
          <w:caps w:val="0"/>
          <w:color w:val="3D3D3D"/>
          <w:spacing w:val="0"/>
          <w:kern w:val="0"/>
          <w:sz w:val="24"/>
          <w:szCs w:val="24"/>
          <w:bdr w:val="none" w:color="auto" w:sz="0" w:space="0"/>
          <w:shd w:val="clear" w:fill="FFFFFF"/>
          <w:lang w:val="en-US" w:eastAsia="zh-CN" w:bidi="ar"/>
        </w:rPr>
        <w:t>（此件主动公开）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7E5817"/>
    <w:rsid w:val="077E5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2022-03-23T02:09:00Z</dcterms:created>
  <dc:creator>清风</dc:creator>
  <cp:lastModifiedBy>清风</cp:lastModifiedBy>
  <dcterms:modified xsi:type="dcterms:W3CDTF">2022-03-23T02:11:36Z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9093ACD4DE6A44E1880F460EA7DAEED0</vt:lpwstr>
  </property>
</Properties>
</file>