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shd w:val="clear" w:color="auto" w:fill="FFFFFF"/>
        <w:tblCellMar>
          <w:left w:w="0" w:type="dxa"/>
          <w:right w:w="0" w:type="dxa"/>
        </w:tblCellMar>
        <w:tblLook w:val="04A0"/>
      </w:tblPr>
      <w:tblGrid>
        <w:gridCol w:w="608"/>
        <w:gridCol w:w="11392"/>
      </w:tblGrid>
      <w:tr w:rsidR="00DF3F48" w:rsidRPr="00DF3F48" w:rsidTr="00DF3F48">
        <w:trPr>
          <w:tblCellSpacing w:w="0" w:type="dxa"/>
          <w:jc w:val="center"/>
        </w:trPr>
        <w:tc>
          <w:tcPr>
            <w:tcW w:w="0" w:type="auto"/>
            <w:gridSpan w:val="2"/>
            <w:shd w:val="clear" w:color="auto" w:fill="FFFFFF"/>
            <w:vAlign w:val="center"/>
            <w:hideMark/>
          </w:tcPr>
          <w:tbl>
            <w:tblPr>
              <w:tblW w:w="10800" w:type="dxa"/>
              <w:jc w:val="center"/>
              <w:tblCellSpacing w:w="0" w:type="dxa"/>
              <w:tblCellMar>
                <w:left w:w="180" w:type="dxa"/>
                <w:right w:w="0" w:type="dxa"/>
              </w:tblCellMar>
              <w:tblLook w:val="04A0"/>
            </w:tblPr>
            <w:tblGrid>
              <w:gridCol w:w="1232"/>
              <w:gridCol w:w="5810"/>
              <w:gridCol w:w="1233"/>
              <w:gridCol w:w="2525"/>
            </w:tblGrid>
            <w:tr w:rsidR="00DF3F48" w:rsidRPr="00DF3F48">
              <w:trPr>
                <w:tblCellSpacing w:w="0" w:type="dxa"/>
                <w:jc w:val="center"/>
              </w:trPr>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索 引 号：</w:t>
                  </w:r>
                </w:p>
              </w:tc>
              <w:tc>
                <w:tcPr>
                  <w:tcW w:w="3720" w:type="dxa"/>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000013338/2021-00284</w:t>
                  </w:r>
                </w:p>
              </w:tc>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主题信息：</w:t>
                  </w:r>
                </w:p>
              </w:tc>
              <w:tc>
                <w:tcPr>
                  <w:tcW w:w="3708" w:type="dxa"/>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建设科技</w:t>
                  </w:r>
                </w:p>
              </w:tc>
            </w:tr>
            <w:tr w:rsidR="00DF3F48" w:rsidRPr="00DF3F48">
              <w:trPr>
                <w:tblCellSpacing w:w="0" w:type="dxa"/>
                <w:jc w:val="center"/>
              </w:trPr>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发文单位：</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住房和城乡建设部办公厅</w:t>
                  </w:r>
                </w:p>
              </w:tc>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生成日期：</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2021年06月30日</w:t>
                  </w:r>
                </w:p>
              </w:tc>
            </w:tr>
            <w:tr w:rsidR="00DF3F48" w:rsidRPr="00DF3F48">
              <w:trPr>
                <w:tblCellSpacing w:w="0" w:type="dxa"/>
                <w:jc w:val="center"/>
              </w:trPr>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文件名称：</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住房和城乡建设部办公厅关于做好建设工程消防设计审查验收工作的通知</w:t>
                  </w:r>
                </w:p>
              </w:tc>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有 效 期：</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p>
              </w:tc>
            </w:tr>
            <w:tr w:rsidR="00DF3F48" w:rsidRPr="00DF3F48">
              <w:trPr>
                <w:tblCellSpacing w:w="0" w:type="dxa"/>
                <w:jc w:val="center"/>
              </w:trPr>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文　　号：</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r w:rsidRPr="00DF3F48">
                    <w:rPr>
                      <w:rFonts w:ascii="宋体" w:eastAsia="宋体" w:hAnsi="宋体" w:cs="宋体"/>
                      <w:kern w:val="0"/>
                      <w:sz w:val="24"/>
                      <w:szCs w:val="24"/>
                    </w:rPr>
                    <w:t>建办科〔2021〕31号</w:t>
                  </w:r>
                </w:p>
              </w:tc>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主 题 词：</w:t>
                  </w:r>
                </w:p>
              </w:tc>
              <w:tc>
                <w:tcPr>
                  <w:tcW w:w="0" w:type="auto"/>
                  <w:vAlign w:val="center"/>
                  <w:hideMark/>
                </w:tcPr>
                <w:p w:rsidR="00DF3F48" w:rsidRPr="00DF3F48" w:rsidRDefault="00DF3F48" w:rsidP="00DF3F48">
                  <w:pPr>
                    <w:widowControl/>
                    <w:jc w:val="left"/>
                    <w:rPr>
                      <w:rFonts w:ascii="宋体" w:eastAsia="宋体" w:hAnsi="宋体" w:cs="宋体"/>
                      <w:kern w:val="0"/>
                      <w:sz w:val="24"/>
                      <w:szCs w:val="24"/>
                    </w:rPr>
                  </w:pPr>
                </w:p>
              </w:tc>
            </w:tr>
            <w:tr w:rsidR="00DF3F48" w:rsidRPr="00DF3F48">
              <w:trPr>
                <w:tblCellSpacing w:w="0" w:type="dxa"/>
                <w:jc w:val="center"/>
              </w:trPr>
              <w:tc>
                <w:tcPr>
                  <w:tcW w:w="1596" w:type="dxa"/>
                  <w:vAlign w:val="center"/>
                  <w:hideMark/>
                </w:tcPr>
                <w:p w:rsidR="00DF3F48" w:rsidRPr="00DF3F48" w:rsidRDefault="00DF3F48" w:rsidP="00DF3F48">
                  <w:pPr>
                    <w:widowControl/>
                    <w:jc w:val="right"/>
                    <w:rPr>
                      <w:rFonts w:ascii="宋体" w:eastAsia="宋体" w:hAnsi="宋体" w:cs="宋体"/>
                      <w:kern w:val="0"/>
                      <w:sz w:val="24"/>
                      <w:szCs w:val="24"/>
                    </w:rPr>
                  </w:pPr>
                  <w:r w:rsidRPr="00DF3F48">
                    <w:rPr>
                      <w:rFonts w:ascii="宋体" w:eastAsia="宋体" w:hAnsi="宋体" w:cs="宋体"/>
                      <w:kern w:val="0"/>
                      <w:sz w:val="24"/>
                      <w:szCs w:val="24"/>
                    </w:rPr>
                    <w:t>废改立情况：</w:t>
                  </w:r>
                </w:p>
              </w:tc>
              <w:tc>
                <w:tcPr>
                  <w:tcW w:w="0" w:type="auto"/>
                  <w:gridSpan w:val="3"/>
                  <w:vAlign w:val="center"/>
                  <w:hideMark/>
                </w:tcPr>
                <w:p w:rsidR="00DF3F48" w:rsidRPr="00DF3F48" w:rsidRDefault="00DF3F48" w:rsidP="00DF3F48">
                  <w:pPr>
                    <w:widowControl/>
                    <w:jc w:val="left"/>
                    <w:rPr>
                      <w:rFonts w:ascii="宋体" w:eastAsia="宋体" w:hAnsi="宋体" w:cs="宋体"/>
                      <w:kern w:val="0"/>
                      <w:sz w:val="24"/>
                      <w:szCs w:val="24"/>
                    </w:rPr>
                  </w:pPr>
                </w:p>
              </w:tc>
            </w:tr>
          </w:tbl>
          <w:p w:rsidR="00DF3F48" w:rsidRPr="00DF3F48" w:rsidRDefault="00DF3F48" w:rsidP="00DF3F48">
            <w:pPr>
              <w:widowControl/>
              <w:jc w:val="center"/>
              <w:rPr>
                <w:rFonts w:ascii="微软雅黑" w:eastAsia="微软雅黑" w:hAnsi="微软雅黑" w:cs="宋体"/>
                <w:color w:val="000000"/>
                <w:kern w:val="0"/>
                <w:sz w:val="14"/>
                <w:szCs w:val="14"/>
              </w:rPr>
            </w:pPr>
          </w:p>
        </w:tc>
      </w:tr>
      <w:tr w:rsidR="00DF3F48" w:rsidRPr="00DF3F48" w:rsidTr="00DF3F48">
        <w:trPr>
          <w:trHeight w:val="600"/>
          <w:tblCellSpacing w:w="0" w:type="dxa"/>
          <w:jc w:val="center"/>
        </w:trPr>
        <w:tc>
          <w:tcPr>
            <w:tcW w:w="576" w:type="dxa"/>
            <w:shd w:val="clear" w:color="auto" w:fill="FFFFFF"/>
            <w:vAlign w:val="center"/>
            <w:hideMark/>
          </w:tcPr>
          <w:p w:rsidR="00DF3F48" w:rsidRPr="00DF3F48" w:rsidRDefault="00DF3F48" w:rsidP="00DF3F48">
            <w:pPr>
              <w:widowControl/>
              <w:jc w:val="center"/>
              <w:rPr>
                <w:rFonts w:ascii="微软雅黑" w:eastAsia="微软雅黑" w:hAnsi="微软雅黑" w:cs="宋体"/>
                <w:color w:val="000000"/>
                <w:kern w:val="0"/>
                <w:sz w:val="14"/>
                <w:szCs w:val="14"/>
              </w:rPr>
            </w:pPr>
          </w:p>
        </w:tc>
        <w:tc>
          <w:tcPr>
            <w:tcW w:w="10800" w:type="dxa"/>
            <w:shd w:val="clear" w:color="auto" w:fill="FFFFFF"/>
            <w:vAlign w:val="center"/>
            <w:hideMark/>
          </w:tcPr>
          <w:tbl>
            <w:tblPr>
              <w:tblpPr w:leftFromText="36" w:rightFromText="36" w:vertAnchor="text"/>
              <w:tblW w:w="10800" w:type="dxa"/>
              <w:tblCellSpacing w:w="0" w:type="dxa"/>
              <w:tblCellMar>
                <w:left w:w="0" w:type="dxa"/>
                <w:right w:w="0" w:type="dxa"/>
              </w:tblCellMar>
              <w:tblLook w:val="04A0"/>
            </w:tblPr>
            <w:tblGrid>
              <w:gridCol w:w="10800"/>
            </w:tblGrid>
            <w:tr w:rsidR="00DF3F48" w:rsidRPr="00DF3F48">
              <w:trPr>
                <w:trHeight w:val="420"/>
                <w:tblCellSpacing w:w="0" w:type="dxa"/>
              </w:trPr>
              <w:tc>
                <w:tcPr>
                  <w:tcW w:w="0" w:type="auto"/>
                  <w:vAlign w:val="center"/>
                  <w:hideMark/>
                </w:tcPr>
                <w:tbl>
                  <w:tblPr>
                    <w:tblW w:w="10800" w:type="dxa"/>
                    <w:jc w:val="center"/>
                    <w:tblCellSpacing w:w="15" w:type="dxa"/>
                    <w:tblCellMar>
                      <w:top w:w="15" w:type="dxa"/>
                      <w:left w:w="15" w:type="dxa"/>
                      <w:bottom w:w="15" w:type="dxa"/>
                      <w:right w:w="15" w:type="dxa"/>
                    </w:tblCellMar>
                    <w:tblLook w:val="04A0"/>
                  </w:tblPr>
                  <w:tblGrid>
                    <w:gridCol w:w="10800"/>
                  </w:tblGrid>
                  <w:tr w:rsidR="00DF3F48" w:rsidRPr="00DF3F48">
                    <w:trPr>
                      <w:tblCellSpacing w:w="15" w:type="dxa"/>
                      <w:jc w:val="center"/>
                    </w:trPr>
                    <w:tc>
                      <w:tcPr>
                        <w:tcW w:w="10800" w:type="dxa"/>
                        <w:vAlign w:val="center"/>
                        <w:hideMark/>
                      </w:tcPr>
                      <w:p w:rsidR="00DF3F48" w:rsidRPr="00DF3F48" w:rsidRDefault="00DF3F48" w:rsidP="00DF3F48">
                        <w:pPr>
                          <w:widowControl/>
                          <w:jc w:val="center"/>
                          <w:rPr>
                            <w:rFonts w:ascii="宋体" w:eastAsia="宋体" w:hAnsi="宋体" w:cs="宋体"/>
                            <w:kern w:val="0"/>
                            <w:sz w:val="24"/>
                            <w:szCs w:val="24"/>
                          </w:rPr>
                        </w:pPr>
                      </w:p>
                    </w:tc>
                  </w:tr>
                </w:tbl>
                <w:p w:rsidR="00DF3F48" w:rsidRPr="00DF3F48" w:rsidRDefault="00DF3F48" w:rsidP="00DF3F48">
                  <w:pPr>
                    <w:widowControl/>
                    <w:jc w:val="center"/>
                    <w:rPr>
                      <w:rFonts w:ascii="宋体" w:eastAsia="宋体" w:hAnsi="宋体" w:cs="宋体"/>
                      <w:kern w:val="0"/>
                      <w:sz w:val="24"/>
                      <w:szCs w:val="24"/>
                    </w:rPr>
                  </w:pPr>
                </w:p>
              </w:tc>
            </w:tr>
          </w:tbl>
          <w:p w:rsidR="00DF3F48" w:rsidRPr="00DF3F48" w:rsidRDefault="00DF3F48" w:rsidP="00DF3F48">
            <w:pPr>
              <w:widowControl/>
              <w:jc w:val="center"/>
              <w:rPr>
                <w:rFonts w:ascii="微软雅黑" w:eastAsia="微软雅黑" w:hAnsi="微软雅黑" w:cs="宋体"/>
                <w:color w:val="000000"/>
                <w:kern w:val="0"/>
                <w:sz w:val="14"/>
                <w:szCs w:val="14"/>
              </w:rPr>
            </w:pPr>
          </w:p>
        </w:tc>
      </w:tr>
      <w:tr w:rsidR="00DF3F48" w:rsidRPr="00DF3F48" w:rsidTr="00DF3F48">
        <w:trPr>
          <w:trHeight w:val="600"/>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DF3F48" w:rsidRPr="00DF3F48">
              <w:trPr>
                <w:tblCellSpacing w:w="0" w:type="dxa"/>
                <w:jc w:val="center"/>
              </w:trPr>
              <w:tc>
                <w:tcPr>
                  <w:tcW w:w="0" w:type="auto"/>
                  <w:vAlign w:val="center"/>
                  <w:hideMark/>
                </w:tcPr>
                <w:p w:rsidR="00DF3F48" w:rsidRPr="00DF3F48" w:rsidRDefault="00DF3F48" w:rsidP="00DF3F48">
                  <w:pPr>
                    <w:widowControl/>
                    <w:jc w:val="center"/>
                    <w:rPr>
                      <w:rFonts w:ascii="宋体" w:eastAsia="宋体" w:hAnsi="宋体" w:cs="宋体"/>
                      <w:kern w:val="0"/>
                      <w:sz w:val="24"/>
                      <w:szCs w:val="24"/>
                    </w:rPr>
                  </w:pPr>
                </w:p>
              </w:tc>
            </w:tr>
          </w:tbl>
          <w:p w:rsidR="00DF3F48" w:rsidRPr="00DF3F48" w:rsidRDefault="00DF3F48" w:rsidP="00DF3F48">
            <w:pPr>
              <w:widowControl/>
              <w:jc w:val="center"/>
              <w:rPr>
                <w:rFonts w:ascii="微软雅黑" w:eastAsia="微软雅黑" w:hAnsi="微软雅黑" w:cs="宋体"/>
                <w:color w:val="000000"/>
                <w:kern w:val="0"/>
                <w:sz w:val="14"/>
                <w:szCs w:val="14"/>
              </w:rPr>
            </w:pPr>
          </w:p>
        </w:tc>
      </w:tr>
      <w:tr w:rsidR="00DF3F48" w:rsidRPr="00DF3F48" w:rsidTr="00DF3F48">
        <w:trPr>
          <w:tblCellSpacing w:w="0" w:type="dxa"/>
          <w:jc w:val="center"/>
        </w:trPr>
        <w:tc>
          <w:tcPr>
            <w:tcW w:w="0" w:type="auto"/>
            <w:gridSpan w:val="2"/>
            <w:shd w:val="clear" w:color="auto" w:fill="FFFFFF"/>
            <w:vAlign w:val="center"/>
            <w:hideMark/>
          </w:tcPr>
          <w:tbl>
            <w:tblPr>
              <w:tblW w:w="10800" w:type="dxa"/>
              <w:jc w:val="center"/>
              <w:tblCellSpacing w:w="0" w:type="dxa"/>
              <w:tblCellMar>
                <w:left w:w="0" w:type="dxa"/>
                <w:right w:w="0" w:type="dxa"/>
              </w:tblCellMar>
              <w:tblLook w:val="04A0"/>
            </w:tblPr>
            <w:tblGrid>
              <w:gridCol w:w="10800"/>
            </w:tblGrid>
            <w:tr w:rsidR="00DF3F48" w:rsidRPr="00DF3F48">
              <w:trPr>
                <w:trHeight w:val="600"/>
                <w:tblCellSpacing w:w="0" w:type="dxa"/>
                <w:jc w:val="center"/>
              </w:trPr>
              <w:tc>
                <w:tcPr>
                  <w:tcW w:w="10800" w:type="dxa"/>
                  <w:tcMar>
                    <w:top w:w="0" w:type="dxa"/>
                    <w:left w:w="480" w:type="dxa"/>
                    <w:bottom w:w="0" w:type="dxa"/>
                    <w:right w:w="480" w:type="dxa"/>
                  </w:tcMar>
                  <w:vAlign w:val="center"/>
                  <w:hideMark/>
                </w:tcPr>
                <w:p w:rsidR="00DF3F48" w:rsidRPr="00DF3F48" w:rsidRDefault="00DF3F48" w:rsidP="00DF3F48">
                  <w:pPr>
                    <w:widowControl/>
                    <w:spacing w:line="396" w:lineRule="atLeast"/>
                    <w:jc w:val="center"/>
                    <w:rPr>
                      <w:rFonts w:ascii="宋体" w:eastAsia="宋体" w:hAnsi="宋体" w:cs="宋体"/>
                      <w:b/>
                      <w:bCs/>
                      <w:color w:val="000000"/>
                      <w:kern w:val="0"/>
                      <w:sz w:val="36"/>
                      <w:szCs w:val="36"/>
                    </w:rPr>
                  </w:pPr>
                  <w:r w:rsidRPr="00DF3F48">
                    <w:rPr>
                      <w:rFonts w:ascii="宋体" w:eastAsia="宋体" w:hAnsi="宋体" w:cs="宋体"/>
                      <w:b/>
                      <w:bCs/>
                      <w:color w:val="000000"/>
                      <w:kern w:val="0"/>
                      <w:sz w:val="36"/>
                      <w:szCs w:val="36"/>
                    </w:rPr>
                    <w:t>住房和城乡建设部办公厅关于做好</w:t>
                  </w:r>
                  <w:r w:rsidRPr="00DF3F48">
                    <w:rPr>
                      <w:rFonts w:ascii="宋体" w:eastAsia="宋体" w:hAnsi="宋体" w:cs="宋体"/>
                      <w:b/>
                      <w:bCs/>
                      <w:color w:val="000000"/>
                      <w:kern w:val="0"/>
                      <w:sz w:val="36"/>
                      <w:szCs w:val="36"/>
                    </w:rPr>
                    <w:br/>
                    <w:t>建设工程消防设计审查验收工作的通知</w:t>
                  </w:r>
                </w:p>
              </w:tc>
            </w:tr>
            <w:tr w:rsidR="00DF3F48" w:rsidRPr="00DF3F48">
              <w:trPr>
                <w:trHeight w:val="24"/>
                <w:tblCellSpacing w:w="0" w:type="dxa"/>
                <w:jc w:val="center"/>
              </w:trPr>
              <w:tc>
                <w:tcPr>
                  <w:tcW w:w="10800" w:type="dxa"/>
                  <w:tcMar>
                    <w:top w:w="180" w:type="dxa"/>
                    <w:left w:w="0" w:type="dxa"/>
                    <w:bottom w:w="0" w:type="dxa"/>
                    <w:right w:w="0" w:type="dxa"/>
                  </w:tcMar>
                  <w:vAlign w:val="center"/>
                  <w:hideMark/>
                </w:tcPr>
                <w:p w:rsidR="00DF3F48" w:rsidRPr="00DF3F48" w:rsidRDefault="00DF3F48" w:rsidP="00DF3F48">
                  <w:pPr>
                    <w:widowControl/>
                    <w:spacing w:line="24" w:lineRule="atLeast"/>
                    <w:jc w:val="center"/>
                    <w:rPr>
                      <w:rFonts w:ascii="宋体" w:eastAsia="宋体" w:hAnsi="宋体" w:cs="宋体"/>
                      <w:kern w:val="0"/>
                      <w:sz w:val="36"/>
                      <w:szCs w:val="36"/>
                    </w:rPr>
                  </w:pPr>
                </w:p>
              </w:tc>
            </w:tr>
            <w:tr w:rsidR="00DF3F48" w:rsidRPr="00DF3F48">
              <w:trPr>
                <w:tblCellSpacing w:w="0" w:type="dxa"/>
                <w:jc w:val="center"/>
              </w:trPr>
              <w:tc>
                <w:tcPr>
                  <w:tcW w:w="10800" w:type="dxa"/>
                  <w:vAlign w:val="center"/>
                  <w:hideMark/>
                </w:tcPr>
                <w:p w:rsidR="00DF3F48" w:rsidRPr="00DF3F48" w:rsidRDefault="00DF3F48" w:rsidP="00DF3F48">
                  <w:pPr>
                    <w:widowControl/>
                    <w:jc w:val="center"/>
                    <w:rPr>
                      <w:rFonts w:ascii="宋体" w:eastAsia="宋体" w:hAnsi="宋体" w:cs="宋体"/>
                      <w:kern w:val="0"/>
                      <w:sz w:val="17"/>
                      <w:szCs w:val="17"/>
                    </w:rPr>
                  </w:pPr>
                </w:p>
              </w:tc>
            </w:tr>
            <w:tr w:rsidR="00DF3F48" w:rsidRPr="00DF3F48">
              <w:trPr>
                <w:trHeight w:val="240"/>
                <w:tblCellSpacing w:w="0" w:type="dxa"/>
                <w:jc w:val="center"/>
              </w:trPr>
              <w:tc>
                <w:tcPr>
                  <w:tcW w:w="10800" w:type="dxa"/>
                  <w:tcMar>
                    <w:top w:w="120" w:type="dxa"/>
                    <w:left w:w="360" w:type="dxa"/>
                    <w:bottom w:w="0" w:type="dxa"/>
                    <w:right w:w="360" w:type="dxa"/>
                  </w:tcMar>
                  <w:vAlign w:val="center"/>
                  <w:hideMark/>
                </w:tcPr>
                <w:p w:rsidR="00DF3F48" w:rsidRPr="00DF3F48" w:rsidRDefault="00DF3F48" w:rsidP="00DF3F48">
                  <w:pPr>
                    <w:widowControl/>
                    <w:jc w:val="left"/>
                    <w:rPr>
                      <w:rFonts w:ascii="宋体" w:eastAsia="宋体" w:hAnsi="宋体" w:cs="宋体"/>
                      <w:kern w:val="0"/>
                      <w:sz w:val="24"/>
                      <w:szCs w:val="24"/>
                    </w:rPr>
                  </w:pPr>
                </w:p>
              </w:tc>
            </w:tr>
            <w:tr w:rsidR="00DF3F48" w:rsidRPr="00DF3F48">
              <w:trPr>
                <w:trHeight w:val="360"/>
                <w:tblCellSpacing w:w="0" w:type="dxa"/>
                <w:jc w:val="center"/>
              </w:trPr>
              <w:tc>
                <w:tcPr>
                  <w:tcW w:w="10800" w:type="dxa"/>
                  <w:vAlign w:val="center"/>
                  <w:hideMark/>
                </w:tcPr>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各省、自治区住房和城乡建设厅，直辖市住房和城乡建设（管）委，北京市规划和自然资源委，新疆生产建设兵团住房和城乡建设局：</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建设工程消防设计审查验收事关建设工程消防安全和人民群众生命财产安全。为加强和改进建设工程消防设计审查验收管理，切实从源头上防范化解建设工程消防安全风险，现就有关事项通知如下：</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一、加强审验管理</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各地建设工程消防设计审查验收主管部门（以下简称主管部门）要依法依规履行建设工程消防设计审查验收职责，审查验收工作应覆盖各类建设工程，做到应办尽办、程序合法、过程透明，不得擅自改变需进行消防设计审查验收的特殊建设工程范围，不得随意取消建设工程消防验收备案和抽查手续。落实国务院“放管服”改革和优化营商环境要求，向社会公开审查验收流程图、事项清单、办事指南、申</w:t>
                  </w:r>
                  <w:r w:rsidRPr="00DF3F48">
                    <w:rPr>
                      <w:rFonts w:ascii="仿宋_GB2312" w:eastAsia="仿宋_GB2312" w:hAnsi="宋体" w:cs="宋体" w:hint="eastAsia"/>
                      <w:kern w:val="0"/>
                      <w:sz w:val="30"/>
                      <w:szCs w:val="30"/>
                    </w:rPr>
                    <w:lastRenderedPageBreak/>
                    <w:t>报材料和内容要求，加强对工程建设单位的技术指导，提高服务意识和服务质量，主动靠前服务。充分依托工程建设项目审批管理系统等平台，实现建设工程消防设计审查验收在线办理；能够通过部门交换获取的信息，不要求申请单位或个人提供。结合实际积极推动开展联合审图和竣工联合验收。</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二、强化技术要求</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各地主管部门要认真查阅工程建设单位申请消防验收备案提交的建设工程资料，核对消防设计执行的国家工程建设消防技术标准内容，并作为抽查的依据。建设工程的消防设计、施工必须符合国家工程建设消防技术标准。</w:t>
                  </w:r>
                  <w:r w:rsidRPr="00DF3F48">
                    <w:rPr>
                      <w:rFonts w:ascii="仿宋_GB2312" w:eastAsia="仿宋_GB2312" w:hAnsi="宋体" w:cs="宋体" w:hint="eastAsia"/>
                      <w:color w:val="FF0000"/>
                      <w:kern w:val="0"/>
                      <w:sz w:val="30"/>
                      <w:szCs w:val="30"/>
                    </w:rPr>
                    <w:t>既有建筑改造利用不改变使用功能、不增加建筑面积的，宜执行现行国家工程建设消防技术标准，不得低于原建筑物建成时的消防安全水平。</w:t>
                  </w:r>
                  <w:r w:rsidRPr="00DF3F48">
                    <w:rPr>
                      <w:rFonts w:ascii="仿宋_GB2312" w:eastAsia="仿宋_GB2312" w:hAnsi="宋体" w:cs="宋体" w:hint="eastAsia"/>
                      <w:kern w:val="0"/>
                      <w:sz w:val="30"/>
                      <w:szCs w:val="30"/>
                    </w:rPr>
                    <w:t>历史文化街区、历史建筑改造确实无法满足现行国家工程建设消防技术标准要求的，应制定科学合理的技术方案，由当地主管部门会同有关部门，组织工程建设单位、业主单位、利害相关人等依法会商解决，确保满足消防安全需要。</w:t>
                  </w:r>
                </w:p>
                <w:p w:rsidR="00DF3F48" w:rsidRPr="00DF3F48" w:rsidRDefault="00DF3F48" w:rsidP="00DF3F48">
                  <w:pPr>
                    <w:widowControl/>
                    <w:jc w:val="left"/>
                    <w:rPr>
                      <w:rFonts w:ascii="仿宋_GB2312" w:eastAsia="仿宋_GB2312" w:hAnsi="宋体" w:cs="宋体" w:hint="eastAsia"/>
                      <w:color w:val="FF0000"/>
                      <w:kern w:val="0"/>
                      <w:sz w:val="30"/>
                      <w:szCs w:val="30"/>
                    </w:rPr>
                  </w:pPr>
                  <w:r w:rsidRPr="00DF3F48">
                    <w:rPr>
                      <w:rFonts w:ascii="仿宋_GB2312" w:eastAsia="仿宋_GB2312" w:hAnsi="宋体" w:cs="宋体" w:hint="eastAsia"/>
                      <w:kern w:val="0"/>
                      <w:sz w:val="30"/>
                      <w:szCs w:val="30"/>
                    </w:rPr>
                    <w:t xml:space="preserve">　</w:t>
                  </w:r>
                  <w:r w:rsidRPr="00DF3F48">
                    <w:rPr>
                      <w:rFonts w:ascii="仿宋_GB2312" w:eastAsia="仿宋_GB2312" w:hAnsi="宋体" w:cs="宋体" w:hint="eastAsia"/>
                      <w:color w:val="FF0000"/>
                      <w:kern w:val="0"/>
                      <w:sz w:val="30"/>
                      <w:szCs w:val="30"/>
                    </w:rPr>
                    <w:t xml:space="preserve">　三、严格评审论证</w:t>
                  </w:r>
                </w:p>
                <w:p w:rsidR="00DF3F48" w:rsidRPr="00DF3F48" w:rsidRDefault="00DF3F48" w:rsidP="00DF3F48">
                  <w:pPr>
                    <w:widowControl/>
                    <w:jc w:val="left"/>
                    <w:rPr>
                      <w:rFonts w:ascii="仿宋_GB2312" w:eastAsia="仿宋_GB2312" w:hAnsi="宋体" w:cs="宋体" w:hint="eastAsia"/>
                      <w:color w:val="FF0000"/>
                      <w:kern w:val="0"/>
                      <w:sz w:val="30"/>
                      <w:szCs w:val="30"/>
                    </w:rPr>
                  </w:pPr>
                  <w:r w:rsidRPr="00DF3F48">
                    <w:rPr>
                      <w:rFonts w:ascii="仿宋_GB2312" w:eastAsia="仿宋_GB2312" w:hAnsi="宋体" w:cs="宋体" w:hint="eastAsia"/>
                      <w:color w:val="FF0000"/>
                      <w:kern w:val="0"/>
                      <w:sz w:val="30"/>
                      <w:szCs w:val="30"/>
                    </w:rPr>
                    <w:t xml:space="preserve">　　组织特殊建设工程的特殊消防设计专家评审时，各省级主管部门应着重评审技术资料中的必要性论证、多方案比较、模拟数据或实验验证结论等内容。科学判定所采用国际标准、境外工程建设消防技术标准的成熟条件。拟采用新技术、新工艺、新材料的，提供的有关应用实例、产品说明等应与建设工程直接相关。要系统论证特殊消防设计内容和现行国家工程建设消防技术标准的关系，以及模拟数据或实验验证结论的可靠性。</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四、规范技术服务</w:t>
                  </w:r>
                </w:p>
                <w:p w:rsidR="00DF3F48" w:rsidRPr="00DF3F48" w:rsidRDefault="00DF3F48" w:rsidP="00DF3F48">
                  <w:pPr>
                    <w:widowControl/>
                    <w:jc w:val="left"/>
                    <w:rPr>
                      <w:rFonts w:ascii="仿宋_GB2312" w:eastAsia="仿宋_GB2312" w:hAnsi="宋体" w:cs="宋体" w:hint="eastAsia"/>
                      <w:color w:val="FF0000"/>
                      <w:kern w:val="0"/>
                      <w:sz w:val="30"/>
                      <w:szCs w:val="30"/>
                    </w:rPr>
                  </w:pPr>
                  <w:r w:rsidRPr="00DF3F48">
                    <w:rPr>
                      <w:rFonts w:ascii="仿宋_GB2312" w:eastAsia="仿宋_GB2312" w:hAnsi="宋体" w:cs="宋体" w:hint="eastAsia"/>
                      <w:kern w:val="0"/>
                      <w:sz w:val="30"/>
                      <w:szCs w:val="30"/>
                    </w:rPr>
                    <w:t xml:space="preserve">　　</w:t>
                  </w:r>
                  <w:r w:rsidRPr="00DF3F48">
                    <w:rPr>
                      <w:rFonts w:ascii="仿宋_GB2312" w:eastAsia="仿宋_GB2312" w:hAnsi="宋体" w:cs="宋体" w:hint="eastAsia"/>
                      <w:color w:val="FF0000"/>
                      <w:kern w:val="0"/>
                      <w:sz w:val="30"/>
                      <w:szCs w:val="30"/>
                    </w:rPr>
                    <w:t>各地主管部门要推进建设工程消防设计技术审查、</w:t>
                  </w:r>
                  <w:r w:rsidRPr="00DF3F48">
                    <w:rPr>
                      <w:rFonts w:ascii="仿宋_GB2312" w:eastAsia="仿宋_GB2312" w:hAnsi="宋体" w:cs="宋体" w:hint="eastAsia"/>
                      <w:kern w:val="0"/>
                      <w:sz w:val="30"/>
                      <w:szCs w:val="30"/>
                    </w:rPr>
                    <w:t>全过程消防技术咨询、竣工</w:t>
                  </w:r>
                  <w:r w:rsidRPr="00DF3F48">
                    <w:rPr>
                      <w:rFonts w:ascii="仿宋_GB2312" w:eastAsia="仿宋_GB2312" w:hAnsi="宋体" w:cs="宋体" w:hint="eastAsia"/>
                      <w:kern w:val="0"/>
                      <w:sz w:val="30"/>
                      <w:szCs w:val="30"/>
                    </w:rPr>
                    <w:lastRenderedPageBreak/>
                    <w:t>验收消防查验、建设工程消防验收现场评定、消防验收备案抽查的现场检查等技术服务市场化工作，促进公平竞争，提高审验效率。</w:t>
                  </w:r>
                  <w:r w:rsidRPr="00DF3F48">
                    <w:rPr>
                      <w:rFonts w:ascii="仿宋_GB2312" w:eastAsia="仿宋_GB2312" w:hAnsi="宋体" w:cs="宋体" w:hint="eastAsia"/>
                      <w:color w:val="FF0000"/>
                      <w:kern w:val="0"/>
                      <w:sz w:val="30"/>
                      <w:szCs w:val="30"/>
                    </w:rPr>
                    <w:t>加强信息化手段在建设工程消防设计审查验收技术服务机构和人员管理中的应用，建立完善信用采集、失信惩戒、信用修复等各项措施。指导提供相关技术服务的机构加强行业自律，健全技术服务标准和质量保证体系，强化自我约束。</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五、落实监督责任</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t xml:space="preserve">　　各地主管部门要高度重视建设工程消防设计审查验收工作，切实加强组织领导，改进工作方式，主动与有关部门协商完善齐抓共管工作机制，守牢安全底线。贯彻落实全国安全生产专项整治三年行动和城市建设安全三年专项整治要求，系统梳理在建和2019年4月1日以来投入使用建设工程的消防设计审查验收情况，建立台账，加强备案抽查项目的消防设计安全监管，合理确定抽查比例。加强高层建筑、健身休闲场所、社会教育培训机构、歌舞娱乐游艺场所、养老机构、危险化学品生产储存场所、老旧小区、物流仓储设施，以及利用原有建筑物改建改用为酒店、饭店、学校、体育馆等场所的消防设计审查验收管理。依法严肃处理不执行建设工程消防设计审查验收制度的各方主体和有关人员，并加大曝光力度。</w:t>
                  </w:r>
                  <w:r w:rsidRPr="00DF3F48">
                    <w:rPr>
                      <w:rFonts w:ascii="仿宋_GB2312" w:eastAsia="仿宋_GB2312" w:hAnsi="宋体" w:cs="宋体" w:hint="eastAsia"/>
                      <w:kern w:val="0"/>
                      <w:sz w:val="30"/>
                      <w:szCs w:val="30"/>
                    </w:rPr>
                    <w:br/>
                    <w:t xml:space="preserve">　　　　　　　　　　　　　　　　　　　　　　　　　　　　　　　　　　　　</w:t>
                  </w:r>
                  <w:r>
                    <w:rPr>
                      <w:rFonts w:ascii="仿宋_GB2312" w:eastAsia="仿宋_GB2312" w:hAnsi="宋体" w:cs="宋体" w:hint="eastAsia"/>
                      <w:kern w:val="0"/>
                      <w:sz w:val="30"/>
                      <w:szCs w:val="30"/>
                    </w:rPr>
                    <w:t xml:space="preserve">                </w:t>
                  </w:r>
                  <w:r w:rsidRPr="00DF3F48">
                    <w:rPr>
                      <w:rFonts w:ascii="仿宋_GB2312" w:eastAsia="仿宋_GB2312" w:hAnsi="宋体" w:cs="宋体" w:hint="eastAsia"/>
                      <w:kern w:val="0"/>
                      <w:sz w:val="30"/>
                      <w:szCs w:val="30"/>
                    </w:rPr>
                    <w:t>住房和城乡建设部办公厅</w:t>
                  </w:r>
                  <w:r w:rsidRPr="00DF3F48">
                    <w:rPr>
                      <w:rFonts w:ascii="仿宋_GB2312" w:eastAsia="仿宋_GB2312" w:hAnsi="宋体" w:cs="宋体" w:hint="eastAsia"/>
                      <w:kern w:val="0"/>
                      <w:sz w:val="30"/>
                      <w:szCs w:val="30"/>
                    </w:rPr>
                    <w:br/>
                    <w:t xml:space="preserve">　　　　　　　　　　　　　　　　　　　　　　　　　　　　　　　　　　　　　　</w:t>
                  </w:r>
                  <w:r>
                    <w:rPr>
                      <w:rFonts w:ascii="仿宋_GB2312" w:eastAsia="仿宋_GB2312" w:hAnsi="宋体" w:cs="宋体" w:hint="eastAsia"/>
                      <w:kern w:val="0"/>
                      <w:sz w:val="30"/>
                      <w:szCs w:val="30"/>
                    </w:rPr>
                    <w:t xml:space="preserve">      </w:t>
                  </w:r>
                  <w:r w:rsidRPr="00DF3F48">
                    <w:rPr>
                      <w:rFonts w:ascii="仿宋_GB2312" w:eastAsia="仿宋_GB2312" w:hAnsi="宋体" w:cs="宋体" w:hint="eastAsia"/>
                      <w:kern w:val="0"/>
                      <w:sz w:val="30"/>
                      <w:szCs w:val="30"/>
                    </w:rPr>
                    <w:t>2021年6月30日</w:t>
                  </w:r>
                </w:p>
                <w:p w:rsidR="00DF3F48" w:rsidRPr="00DF3F48" w:rsidRDefault="00DF3F48" w:rsidP="00DF3F48">
                  <w:pPr>
                    <w:widowControl/>
                    <w:jc w:val="left"/>
                    <w:rPr>
                      <w:rFonts w:ascii="仿宋_GB2312" w:eastAsia="仿宋_GB2312" w:hAnsi="宋体" w:cs="宋体" w:hint="eastAsia"/>
                      <w:kern w:val="0"/>
                      <w:sz w:val="30"/>
                      <w:szCs w:val="30"/>
                    </w:rPr>
                  </w:pPr>
                  <w:r w:rsidRPr="00DF3F48">
                    <w:rPr>
                      <w:rFonts w:ascii="仿宋_GB2312" w:eastAsia="仿宋_GB2312" w:hAnsi="宋体" w:cs="宋体" w:hint="eastAsia"/>
                      <w:kern w:val="0"/>
                      <w:sz w:val="30"/>
                      <w:szCs w:val="30"/>
                    </w:rPr>
                    <w:br/>
                    <w:t xml:space="preserve">　　</w:t>
                  </w:r>
                  <w:r>
                    <w:rPr>
                      <w:rFonts w:ascii="仿宋_GB2312" w:eastAsia="仿宋_GB2312" w:hAnsi="宋体" w:cs="宋体" w:hint="eastAsia"/>
                      <w:kern w:val="0"/>
                      <w:sz w:val="30"/>
                      <w:szCs w:val="30"/>
                    </w:rPr>
                    <w:t xml:space="preserve">      </w:t>
                  </w:r>
                  <w:r w:rsidRPr="00DF3F48">
                    <w:rPr>
                      <w:rFonts w:ascii="仿宋_GB2312" w:eastAsia="仿宋_GB2312" w:hAnsi="宋体" w:cs="宋体" w:hint="eastAsia"/>
                      <w:kern w:val="0"/>
                      <w:sz w:val="30"/>
                      <w:szCs w:val="30"/>
                    </w:rPr>
                    <w:t>（此件主动公开）</w:t>
                  </w:r>
                </w:p>
              </w:tc>
            </w:tr>
          </w:tbl>
          <w:p w:rsidR="00DF3F48" w:rsidRPr="00DF3F48" w:rsidRDefault="00DF3F48" w:rsidP="00DF3F48">
            <w:pPr>
              <w:widowControl/>
              <w:jc w:val="center"/>
              <w:rPr>
                <w:rFonts w:ascii="微软雅黑" w:eastAsia="微软雅黑" w:hAnsi="微软雅黑" w:cs="宋体"/>
                <w:color w:val="000000"/>
                <w:kern w:val="0"/>
                <w:sz w:val="14"/>
                <w:szCs w:val="14"/>
              </w:rPr>
            </w:pPr>
          </w:p>
        </w:tc>
      </w:tr>
    </w:tbl>
    <w:p w:rsidR="00E17005" w:rsidRPr="00DF3F48" w:rsidRDefault="00E17005">
      <w:pPr>
        <w:rPr>
          <w:rFonts w:hint="eastAsia"/>
        </w:rPr>
      </w:pPr>
    </w:p>
    <w:sectPr w:rsidR="00E17005" w:rsidRPr="00DF3F48" w:rsidSect="00E1700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3F48"/>
    <w:rsid w:val="00DF3F48"/>
    <w:rsid w:val="00E170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j">
    <w:name w:val="pbj"/>
    <w:basedOn w:val="a"/>
    <w:rsid w:val="00DF3F48"/>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DF3F4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59935055">
      <w:bodyDiv w:val="1"/>
      <w:marLeft w:val="0"/>
      <w:marRight w:val="0"/>
      <w:marTop w:val="0"/>
      <w:marBottom w:val="0"/>
      <w:divBdr>
        <w:top w:val="none" w:sz="0" w:space="0" w:color="auto"/>
        <w:left w:val="none" w:sz="0" w:space="0" w:color="auto"/>
        <w:bottom w:val="none" w:sz="0" w:space="0" w:color="auto"/>
        <w:right w:val="none" w:sz="0" w:space="0" w:color="auto"/>
      </w:divBdr>
      <w:divsChild>
        <w:div w:id="602611797">
          <w:marLeft w:val="0"/>
          <w:marRight w:val="0"/>
          <w:marTop w:val="0"/>
          <w:marBottom w:val="0"/>
          <w:divBdr>
            <w:top w:val="none" w:sz="0" w:space="0" w:color="auto"/>
            <w:left w:val="none" w:sz="0" w:space="0" w:color="auto"/>
            <w:bottom w:val="none" w:sz="0" w:space="0" w:color="auto"/>
            <w:right w:val="none" w:sz="0" w:space="0" w:color="auto"/>
          </w:divBdr>
          <w:divsChild>
            <w:div w:id="4922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276</Words>
  <Characters>1574</Characters>
  <Application>Microsoft Office Word</Application>
  <DocSecurity>0</DocSecurity>
  <Lines>13</Lines>
  <Paragraphs>3</Paragraphs>
  <ScaleCrop>false</ScaleCrop>
  <Company>Microsoft</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2021-07-20T02:32:00Z</dcterms:created>
  <dcterms:modified xsi:type="dcterms:W3CDTF">2021-07-20T02:38:00Z</dcterms:modified>
</cp:coreProperties>
</file>