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 w:line="21" w:lineRule="atLeast"/>
        <w:ind w:left="0" w:right="0"/>
        <w:jc w:val="center"/>
        <w:rPr>
          <w:b/>
          <w:bCs/>
          <w:sz w:val="33"/>
          <w:szCs w:val="33"/>
        </w:rPr>
      </w:pPr>
      <w:r>
        <w:rPr>
          <w:b/>
          <w:bCs/>
          <w:sz w:val="33"/>
          <w:szCs w:val="33"/>
          <w:bdr w:val="none" w:color="auto" w:sz="0" w:space="0"/>
        </w:rPr>
        <w:t>消防车操作场地| 建筑周边长度及场地</w:t>
      </w:r>
      <w:bookmarkStart w:id="0" w:name="_GoBack"/>
      <w:bookmarkEnd w:id="0"/>
      <w:r>
        <w:rPr>
          <w:b/>
          <w:bCs/>
          <w:sz w:val="33"/>
          <w:szCs w:val="33"/>
          <w:bdr w:val="none" w:color="auto" w:sz="0" w:space="0"/>
        </w:rPr>
        <w:t>设置要求！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30" w:afterAutospacing="0" w:line="300" w:lineRule="atLeast"/>
        <w:ind w:left="0" w:right="0"/>
        <w:jc w:val="left"/>
        <w:rPr>
          <w:sz w:val="0"/>
          <w:szCs w:val="0"/>
        </w:rPr>
      </w:pPr>
      <w:r>
        <w:rPr>
          <w:rFonts w:ascii="宋体" w:hAnsi="宋体" w:eastAsia="宋体" w:cs="宋体"/>
          <w:i w:val="0"/>
          <w:iCs w:val="0"/>
          <w:spacing w:val="0"/>
          <w:kern w:val="0"/>
          <w:sz w:val="18"/>
          <w:szCs w:val="18"/>
          <w:bdr w:val="none" w:color="auto" w:sz="0" w:space="0"/>
          <w:lang w:val="en-US" w:eastAsia="zh-CN" w:bidi="ar"/>
        </w:rPr>
        <w:t>原创</w:t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Fonts w:ascii="宋体" w:hAnsi="宋体" w:eastAsia="宋体" w:cs="宋体"/>
          <w:kern w:val="0"/>
          <w:sz w:val="22"/>
          <w:szCs w:val="22"/>
          <w:bdr w:val="none" w:color="auto" w:sz="0" w:space="0"/>
          <w:lang w:val="en-US" w:eastAsia="zh-CN" w:bidi="ar"/>
        </w:rPr>
        <w:t>石峥嵘</w:t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begin"/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instrText xml:space="preserve"> HYPERLINK "javascript:void(0);" </w:instrTex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separate"/>
      </w:r>
      <w:r>
        <w:rPr>
          <w:rStyle w:val="10"/>
          <w:rFonts w:ascii="宋体" w:hAnsi="宋体" w:eastAsia="宋体" w:cs="宋体"/>
          <w:color w:val="576B95"/>
          <w:sz w:val="22"/>
          <w:szCs w:val="22"/>
          <w:u w:val="none"/>
          <w:bdr w:val="none" w:color="auto" w:sz="0" w:space="0"/>
        </w:rPr>
        <w:t>消防资源网</w: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end"/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Style w:val="9"/>
          <w:rFonts w:ascii="宋体" w:hAnsi="宋体" w:eastAsia="宋体" w:cs="宋体"/>
          <w:i w:val="0"/>
          <w:iCs w:val="0"/>
          <w:kern w:val="0"/>
          <w:sz w:val="22"/>
          <w:szCs w:val="22"/>
          <w:bdr w:val="none" w:color="auto" w:sz="0" w:space="0"/>
          <w:lang w:val="en-US" w:eastAsia="zh-CN" w:bidi="ar"/>
        </w:rPr>
        <w:t>2022-02-21 16:23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both"/>
      </w:pPr>
      <w:r>
        <w:rPr>
          <w:rStyle w:val="8"/>
          <w:color w:val="FF0000"/>
          <w:sz w:val="24"/>
          <w:szCs w:val="24"/>
          <w:bdr w:val="none" w:color="auto" w:sz="0" w:space="0"/>
        </w:rPr>
        <w:t>石峥嵘：从建筑平面角度，建筑周边长度决定了救援规模，现行规范规定，登高操作场地的长度不应少于建筑周边长度的1/4，本文就建筑周边长度的确定方法、需要设置登高操作场地的建筑底边长度，以及操作场地对应建筑底边有效长度等要点问题，分述如下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226" w:afterAutospacing="0" w:line="315" w:lineRule="atLeast"/>
        <w:ind w:left="0" w:right="0"/>
        <w:jc w:val="center"/>
      </w:pPr>
      <w:r>
        <w:rPr>
          <w:rStyle w:val="8"/>
          <w:color w:val="222222"/>
          <w:sz w:val="25"/>
          <w:szCs w:val="25"/>
          <w:bdr w:val="none" w:color="auto" w:sz="0" w:space="0"/>
          <w:shd w:val="clear" w:fill="FFFB00"/>
        </w:rPr>
        <w:t>第一章 建筑周边长度的确定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color w:val="0080FF"/>
          <w:sz w:val="24"/>
          <w:szCs w:val="24"/>
          <w:bdr w:val="none" w:color="auto" w:sz="0" w:space="0"/>
        </w:rPr>
        <w:t>一、基本计算原则：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通常情况下，建筑周边长度可按高层建筑外墙长度确定，当建筑物外墙线为弧形或其他不规则的特殊形状时，应以弧长或不规则外墙的周长计算。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图示1的栯圆形建筑，建筑周边长度以栯圆周长计。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color w:val="222222"/>
          <w:sz w:val="25"/>
          <w:szCs w:val="25"/>
          <w:bdr w:val="none" w:color="auto" w:sz="0" w:space="0"/>
        </w:rPr>
        <w:drawing>
          <wp:inline distT="0" distB="0" distL="114300" distR="114300">
            <wp:extent cx="5686425" cy="4000500"/>
            <wp:effectExtent l="0" t="0" r="9525" b="0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86425" cy="4000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center"/>
      </w:pPr>
      <w:r>
        <w:rPr>
          <w:color w:val="222222"/>
          <w:sz w:val="24"/>
          <w:szCs w:val="24"/>
          <w:bdr w:val="none" w:color="auto" w:sz="0" w:space="0"/>
        </w:rPr>
        <w:t>（图示1)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图示2的不规则建筑，局部采用圆弧外墙，以弧长计，本高层建筑的周边长度C</w:t>
      </w:r>
      <w:r>
        <w:rPr>
          <w:rFonts w:ascii="等线" w:hAnsi="等线" w:eastAsia="等线" w:cs="等线"/>
          <w:color w:val="222222"/>
          <w:sz w:val="24"/>
          <w:szCs w:val="24"/>
          <w:bdr w:val="none" w:color="auto" w:sz="0" w:space="0"/>
        </w:rPr>
        <w:t>=</w:t>
      </w:r>
      <w:r>
        <w:rPr>
          <w:color w:val="222222"/>
          <w:sz w:val="24"/>
          <w:szCs w:val="24"/>
          <w:bdr w:val="none" w:color="auto" w:sz="0" w:space="0"/>
        </w:rPr>
        <w:t>L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1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L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2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L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3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c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1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L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4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L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5</w:t>
      </w:r>
      <w:r>
        <w:rPr>
          <w:color w:val="222222"/>
          <w:sz w:val="24"/>
          <w:szCs w:val="24"/>
          <w:bdr w:val="none" w:color="auto" w:sz="0" w:space="0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color w:val="222222"/>
          <w:sz w:val="25"/>
          <w:szCs w:val="25"/>
          <w:bdr w:val="none" w:color="auto" w:sz="0" w:space="0"/>
        </w:rPr>
        <w:drawing>
          <wp:inline distT="0" distB="0" distL="114300" distR="114300">
            <wp:extent cx="5518785" cy="4148455"/>
            <wp:effectExtent l="0" t="0" r="5715" b="4445"/>
            <wp:docPr id="2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18785" cy="41484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center"/>
      </w:pPr>
      <w:r>
        <w:rPr>
          <w:color w:val="222222"/>
          <w:sz w:val="24"/>
          <w:szCs w:val="24"/>
          <w:bdr w:val="none" w:color="auto" w:sz="0" w:space="0"/>
        </w:rPr>
        <w:t>(图示2)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color w:val="0080FF"/>
          <w:sz w:val="24"/>
          <w:szCs w:val="24"/>
          <w:bdr w:val="none" w:color="auto" w:sz="0" w:space="0"/>
        </w:rPr>
        <w:t>二、可不计入周边长度的主要情形：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对于不增加救援规模的裙房等附属建筑，以及不会对建筑外墙救援面造成不利影响的局部凹凸部分，可不计入周边长度，参考如下：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1、通常认为，常规消防车可胜任单、多层建筑灭火救援，举高消防车主要针对高层建筑，建筑高度不大于24m的裙房、雨蓬、挑檐、门头等附属建筑及凸出构件，可不计入高层建筑主体的周边长度。图示1、图示2、图示3的裙房等附属建筑及凸出构件，均无需计入周边长度。（周边长度参虚线示意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2、当局部凹形部位未引发外墙救援面变化，且内凹部位的周长不超过20m（图示3中，z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1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z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2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</w:rPr>
        <w:t>+z</w:t>
      </w:r>
      <w:r>
        <w:rPr>
          <w:rFonts w:hint="default" w:ascii="等线" w:hAnsi="等线" w:eastAsia="等线" w:cs="等线"/>
          <w:color w:val="222222"/>
          <w:sz w:val="24"/>
          <w:szCs w:val="24"/>
          <w:bdr w:val="none" w:color="auto" w:sz="0" w:space="0"/>
          <w:vertAlign w:val="subscript"/>
        </w:rPr>
        <w:t>3</w:t>
      </w:r>
      <w:r>
        <w:rPr>
          <w:color w:val="222222"/>
          <w:sz w:val="24"/>
          <w:szCs w:val="24"/>
          <w:bdr w:val="none" w:color="auto" w:sz="0" w:space="0"/>
        </w:rPr>
        <w:t>≤20m），凹形深度可不计周边长度。（周边长度参图示3下侧虚线）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3、当局部凸出部位未引发外墙救援面变化，凸出深度不大于5m且宽度不大于10m时（图示3建筑右侧），通常也可不计入周边长度。（周边长度参图示3右侧虚线）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4、当外墙形状变化导致救援面调整时，由此引发的周长调整均应计入周边长度。图示3建筑中，上侧外墙凸出部分较长，需要增加救援口，救援面发生调整，由此引发的周长增加应计入周边长度。（周边长度参图示3上侧虚线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2"/>
          <w:szCs w:val="22"/>
          <w:bdr w:val="none" w:color="auto" w:sz="0" w:space="0"/>
        </w:rPr>
        <w:t>注：救援口设置间距不宜大于20m（距外墙边缘不宜大于10m），距障碍物边缘的距离不宜小于5m。当外墙凹凸调整导致救援口间距不能满足要求时，需要增加救援口，可认为已导致救援规模（救援面）变化，即使因特殊原因没有增设救援口，也应视为救援规模已发生变化，周边长度应予调整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color w:val="222222"/>
          <w:sz w:val="25"/>
          <w:szCs w:val="25"/>
          <w:bdr w:val="none" w:color="auto" w:sz="0" w:space="0"/>
        </w:rPr>
        <w:drawing>
          <wp:inline distT="0" distB="0" distL="114300" distR="114300">
            <wp:extent cx="5516245" cy="3238500"/>
            <wp:effectExtent l="0" t="0" r="8255" b="0"/>
            <wp:docPr id="5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16245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center"/>
      </w:pPr>
      <w:r>
        <w:rPr>
          <w:color w:val="222222"/>
          <w:sz w:val="24"/>
          <w:szCs w:val="24"/>
          <w:bdr w:val="none" w:color="auto" w:sz="0" w:space="0"/>
        </w:rPr>
        <w:t>（图示3）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226" w:afterAutospacing="0" w:line="315" w:lineRule="atLeast"/>
        <w:ind w:left="0" w:right="0"/>
        <w:jc w:val="center"/>
      </w:pPr>
      <w:r>
        <w:rPr>
          <w:rStyle w:val="8"/>
          <w:color w:val="222222"/>
          <w:sz w:val="25"/>
          <w:szCs w:val="25"/>
          <w:bdr w:val="none" w:color="auto" w:sz="0" w:space="0"/>
          <w:shd w:val="clear" w:fill="FFFB00"/>
        </w:rPr>
        <w:t>第二章 需要设置登高操作场地的建筑底边长度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576B95"/>
          <w:sz w:val="25"/>
          <w:szCs w:val="25"/>
          <w:u w:val="single"/>
          <w:bdr w:val="none" w:color="auto" w:sz="0" w:space="0"/>
        </w:rPr>
        <w:fldChar w:fldCharType="begin"/>
      </w:r>
      <w:r>
        <w:rPr>
          <w:color w:val="576B95"/>
          <w:sz w:val="25"/>
          <w:szCs w:val="25"/>
          <w:u w:val="single"/>
          <w:bdr w:val="none" w:color="auto" w:sz="0" w:space="0"/>
        </w:rPr>
        <w:instrText xml:space="preserve"> HYPERLINK "https://gf.1190119.com/article-27262.htm" \t "https://mp.weixin.qq.com/_blank" </w:instrText>
      </w:r>
      <w:r>
        <w:rPr>
          <w:color w:val="576B95"/>
          <w:sz w:val="25"/>
          <w:szCs w:val="25"/>
          <w:u w:val="single"/>
          <w:bdr w:val="none" w:color="auto" w:sz="0" w:space="0"/>
        </w:rPr>
        <w:fldChar w:fldCharType="separate"/>
      </w:r>
      <w:r>
        <w:rPr>
          <w:rStyle w:val="10"/>
          <w:color w:val="576B95"/>
          <w:sz w:val="24"/>
          <w:szCs w:val="24"/>
          <w:u w:val="single"/>
          <w:bdr w:val="none" w:color="auto" w:sz="0" w:space="0"/>
        </w:rPr>
        <w:t>《建规》7.2.1</w:t>
      </w:r>
      <w:r>
        <w:rPr>
          <w:color w:val="576B95"/>
          <w:sz w:val="25"/>
          <w:szCs w:val="25"/>
          <w:u w:val="single"/>
          <w:bdr w:val="none" w:color="auto" w:sz="0" w:space="0"/>
        </w:rPr>
        <w:fldChar w:fldCharType="end"/>
      </w:r>
      <w:r>
        <w:rPr>
          <w:color w:val="222222"/>
          <w:sz w:val="24"/>
          <w:szCs w:val="24"/>
          <w:bdr w:val="none" w:color="auto" w:sz="0" w:space="0"/>
        </w:rPr>
        <w:t>规定“高层建筑应至少沿一个长边或周边长度的1/4且不小于一个长边长度的底边连续布置消防车登高操作场地”，依此可知：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color w:val="0080FF"/>
          <w:sz w:val="24"/>
          <w:szCs w:val="24"/>
          <w:bdr w:val="none" w:color="auto" w:sz="0" w:space="0"/>
        </w:rPr>
        <w:t>1、当建筑长边长度≥周边长度的1/4时，设置消防车登高操作场地的建筑底边长度应≥建筑长边长度。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color w:val="0080FF"/>
          <w:sz w:val="24"/>
          <w:szCs w:val="24"/>
          <w:bdr w:val="none" w:color="auto" w:sz="0" w:space="0"/>
        </w:rPr>
        <w:t>2、当建筑长边长度＜周边长度的1/4时，设置消防车登高操作场地的建筑底边长度应≥周边长度的1/4。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2"/>
          <w:szCs w:val="22"/>
          <w:bdr w:val="none" w:color="auto" w:sz="0" w:space="0"/>
        </w:rPr>
        <w:t>注：消防车救援主要针对建筑外墙救援面，“建筑底边长度”的实质是“外墙救援面的底边长度”。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226" w:afterAutospacing="0" w:line="315" w:lineRule="atLeast"/>
        <w:ind w:left="0" w:right="0"/>
        <w:jc w:val="center"/>
      </w:pPr>
      <w:r>
        <w:rPr>
          <w:rStyle w:val="8"/>
          <w:color w:val="222222"/>
          <w:sz w:val="25"/>
          <w:szCs w:val="25"/>
          <w:bdr w:val="none" w:color="auto" w:sz="0" w:space="0"/>
          <w:shd w:val="clear" w:fill="FFFB00"/>
        </w:rPr>
        <w:t>第三章 怎样确定有效的外墙底边长度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需要设置消防车登高操作场地的建筑底边长度，是指外墙救援面的有效底边长度，除规范规定外，尚应注意以下要求：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color w:val="0080FF"/>
          <w:sz w:val="24"/>
          <w:szCs w:val="24"/>
          <w:bdr w:val="none" w:color="auto" w:sz="0" w:space="0"/>
        </w:rPr>
        <w:t>一、为有效发挥消防车效能，救援面外墙的有效底边长度，应为操作场地在外墙底边的投影长度，当外墙为弧形时，以有效投影区域的弧长计。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1、当建筑外墙与操作场地采用平行布局方式时，操作场地在外墙救援面底边的投影长度，可认为是有效底边长度。示例：图示2为建筑外墙与操作场地平行布局的方式，场地在外墙上的投影长度(a</w:t>
      </w:r>
      <w:r>
        <w:rPr>
          <w:rFonts w:ascii="Calibri" w:hAnsi="Calibri" w:cs="Calibri"/>
          <w:color w:val="222222"/>
          <w:sz w:val="24"/>
          <w:szCs w:val="24"/>
          <w:bdr w:val="none" w:color="auto" w:sz="0" w:space="0"/>
          <w:vertAlign w:val="subscript"/>
        </w:rPr>
        <w:t>1</w:t>
      </w:r>
      <w:r>
        <w:rPr>
          <w:rFonts w:hint="eastAsia" w:ascii="宋体" w:hAnsi="宋体" w:eastAsia="宋体" w:cs="宋体"/>
          <w:color w:val="222222"/>
          <w:sz w:val="24"/>
          <w:szCs w:val="24"/>
          <w:bdr w:val="none" w:color="auto" w:sz="0" w:space="0"/>
        </w:rPr>
        <w:t>、</w:t>
      </w:r>
      <w:r>
        <w:rPr>
          <w:color w:val="222222"/>
          <w:sz w:val="24"/>
          <w:szCs w:val="24"/>
          <w:bdr w:val="none" w:color="auto" w:sz="0" w:space="0"/>
        </w:rPr>
        <w:t>a</w:t>
      </w:r>
      <w:r>
        <w:rPr>
          <w:rFonts w:hint="default" w:ascii="Calibri" w:hAnsi="Calibri" w:cs="Calibri"/>
          <w:color w:val="222222"/>
          <w:sz w:val="24"/>
          <w:szCs w:val="24"/>
          <w:bdr w:val="none" w:color="auto" w:sz="0" w:space="0"/>
          <w:vertAlign w:val="subscript"/>
        </w:rPr>
        <w:t>2</w:t>
      </w:r>
      <w:r>
        <w:rPr>
          <w:color w:val="222222"/>
          <w:sz w:val="24"/>
          <w:szCs w:val="24"/>
          <w:bdr w:val="none" w:color="auto" w:sz="0" w:space="0"/>
        </w:rPr>
        <w:t>)即为外墙底边长度，图示4中，左侧场地突出建筑外墙部分，虽有利于灭火救援，但仍只能计入实际投影长度，有效的外墙底边长度应为投影长度(a)。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2、当建筑外墙与操作场地采用弧形等特殊布局方式时，操作场地在外墙救援面底边（切线方向）的投影长度, 可认为是有效外墙底边长度（当为弧形时，以弧长计）。示例：图示4中，右侧弧形操作场地在外墙救援面底边的投影长度（弧长c）为有效的外墙底边长度。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由上可知，</w:t>
      </w:r>
      <w:r>
        <w:rPr>
          <w:rStyle w:val="8"/>
          <w:color w:val="222222"/>
          <w:sz w:val="24"/>
          <w:szCs w:val="24"/>
          <w:bdr w:val="none" w:color="auto" w:sz="0" w:space="0"/>
        </w:rPr>
        <w:t>图示2建筑中，布置消防车登高操作场地的有效底边长度为</w:t>
      </w:r>
      <w:r>
        <w:rPr>
          <w:color w:val="222222"/>
          <w:sz w:val="24"/>
          <w:szCs w:val="24"/>
          <w:bdr w:val="none" w:color="auto" w:sz="0" w:space="0"/>
        </w:rPr>
        <w:t>a</w:t>
      </w:r>
      <w:r>
        <w:rPr>
          <w:rStyle w:val="8"/>
          <w:rFonts w:hint="default" w:ascii="Calibri" w:hAnsi="Calibri" w:cs="Calibri"/>
          <w:color w:val="222222"/>
          <w:sz w:val="24"/>
          <w:szCs w:val="24"/>
          <w:bdr w:val="none" w:color="auto" w:sz="0" w:space="0"/>
          <w:vertAlign w:val="subscript"/>
        </w:rPr>
        <w:t>1</w:t>
      </w:r>
      <w:r>
        <w:rPr>
          <w:rStyle w:val="8"/>
          <w:rFonts w:hint="default" w:ascii="Calibri" w:hAnsi="Calibri" w:cs="Calibri"/>
          <w:color w:val="222222"/>
          <w:sz w:val="24"/>
          <w:szCs w:val="24"/>
          <w:bdr w:val="none" w:color="auto" w:sz="0" w:space="0"/>
        </w:rPr>
        <w:t>+</w:t>
      </w:r>
      <w:r>
        <w:rPr>
          <w:color w:val="222222"/>
          <w:sz w:val="24"/>
          <w:szCs w:val="24"/>
          <w:bdr w:val="none" w:color="auto" w:sz="0" w:space="0"/>
        </w:rPr>
        <w:t>a</w:t>
      </w:r>
      <w:r>
        <w:rPr>
          <w:rStyle w:val="8"/>
          <w:rFonts w:hint="default" w:ascii="Calibri" w:hAnsi="Calibri" w:cs="Calibri"/>
          <w:color w:val="222222"/>
          <w:sz w:val="24"/>
          <w:szCs w:val="24"/>
          <w:bdr w:val="none" w:color="auto" w:sz="0" w:space="0"/>
          <w:vertAlign w:val="subscript"/>
        </w:rPr>
        <w:t>2</w:t>
      </w:r>
      <w:r>
        <w:rPr>
          <w:rStyle w:val="8"/>
          <w:color w:val="222222"/>
          <w:sz w:val="24"/>
          <w:szCs w:val="24"/>
          <w:bdr w:val="none" w:color="auto" w:sz="0" w:space="0"/>
        </w:rPr>
        <w:t>；图示4建筑中，布置消防车登高操作场地的有效底边长度为a+c(弧长)。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color w:val="222222"/>
          <w:sz w:val="25"/>
          <w:szCs w:val="25"/>
        </w:rPr>
        <w:drawing>
          <wp:inline distT="0" distB="0" distL="114300" distR="114300">
            <wp:extent cx="5015230" cy="4163060"/>
            <wp:effectExtent l="0" t="0" r="13970" b="8890"/>
            <wp:docPr id="6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6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15230" cy="41630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center"/>
      </w:pPr>
      <w:r>
        <w:rPr>
          <w:color w:val="222222"/>
          <w:sz w:val="24"/>
          <w:szCs w:val="24"/>
          <w:bdr w:val="none" w:color="auto" w:sz="0" w:space="0"/>
        </w:rPr>
        <w:t>（图示4）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color w:val="0080FF"/>
          <w:sz w:val="24"/>
          <w:szCs w:val="24"/>
          <w:bdr w:val="none" w:color="auto" w:sz="0" w:space="0"/>
        </w:rPr>
        <w:t>二、设置合格救援口的建筑外墙，才可作为有效救援面，方可计入有效底边长度。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color w:val="222222"/>
          <w:sz w:val="24"/>
          <w:szCs w:val="24"/>
          <w:bdr w:val="none" w:color="auto" w:sz="0" w:space="0"/>
        </w:rPr>
        <w:t>救援口是举高消防车的救援通道，登高操作场地对应的外墙救援面，需设置救援口，救援口应设置于消防车有效作业区域，除规范要求外，每个操作场地对应的每层救援口数量不宜少于2个，并不应少于1个。</w:t>
      </w:r>
      <w:r>
        <w:rPr>
          <w:rStyle w:val="8"/>
          <w:color w:val="222222"/>
          <w:sz w:val="24"/>
          <w:szCs w:val="24"/>
          <w:bdr w:val="none" w:color="auto" w:sz="0" w:space="0"/>
        </w:rPr>
        <w:t>图示4的下侧区域，操作场地在外墙底边的投影区域没有救援口，其底边长度不能作为有效长度。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both"/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J0wnyN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581DE4"/>
    <w:rsid w:val="53581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2022-03-28T06:52:00Z</dcterms:created>
  <dc:creator>清风</dc:creator>
  <cp:lastModifiedBy>清风</cp:lastModifiedBy>
  <dcterms:modified xsi:type="dcterms:W3CDTF">2022-03-28T06:53:42Z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E584C9F244A74984B8E01E190203A74B</vt:lpwstr>
  </property>
</Properties>
</file>