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-554990</wp:posOffset>
            </wp:positionH>
            <wp:positionV relativeFrom="paragraph">
              <wp:posOffset>58420</wp:posOffset>
            </wp:positionV>
            <wp:extent cx="6273800" cy="1068705"/>
            <wp:effectExtent l="0" t="0" r="12700" b="17145"/>
            <wp:wrapTight wrapText="bothSides">
              <wp:wrapPolygon>
                <wp:start x="0" y="0"/>
                <wp:lineTo x="0" y="21176"/>
                <wp:lineTo x="21513" y="21176"/>
                <wp:lineTo x="21513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649" r="5994"/>
                    <a:stretch>
                      <a:fillRect/>
                    </a:stretch>
                  </pic:blipFill>
                  <pic:spPr>
                    <a:xfrm>
                      <a:off x="0" y="0"/>
                      <a:ext cx="627380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市建委关于批准发布</w:t>
      </w: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《装配整体式剪力墙结构住宅施工图设计深度图样》（预制叠合梁、叠合楼板）的通知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各有关单位：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为适应我市装配式建筑发展需要，指导各有关单位开展装配式建筑施工图设计和预制构件生产，保证设计质量，推动装配式部品部件在工程建设中广泛应用，天津市建设工程技术研究所组织天津市房屋鉴定建筑设计院开展《装配整体式剪力墙结构住宅施工图设计深度图样》（预制叠合梁、叠合楼板）编制工作。经组织专家审定通过，现批准为天津市工程建设标准设计通用图集，标准设计统一编号：DBJT29-212-2017；图集号：津17G07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本图集自批准之日起实施，供有关单位在工程建设中参考使用，图集使用过程中如有不明之处或修改意见，请及时反馈给天津市建设工程技术研究所。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righ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2017年8月31日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both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sz w:val="24"/>
          <w:szCs w:val="24"/>
          <w:bdr w:val="none" w:color="auto" w:sz="0" w:space="0"/>
          <w:shd w:val="clear" w:fill="FFFFFF"/>
        </w:rPr>
        <w:t>（此件主动公开）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D3D3D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946B5"/>
    <w:rsid w:val="4E9946B5"/>
    <w:rsid w:val="75E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2022-03-22T07:26:00Z</dcterms:created>
  <dc:creator>清风</dc:creator>
  <cp:lastModifiedBy>清风</cp:lastModifiedBy>
  <dcterms:modified xsi:type="dcterms:W3CDTF">2022-03-22T07:31:47Z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928280C9A08948BE9C4686CF32FCBF55</vt:lpwstr>
  </property>
</Properties>
</file>