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50" w:afterAutospacing="0" w:line="525" w:lineRule="atLeast"/>
        <w:ind w:left="0" w:right="0"/>
        <w:jc w:val="center"/>
        <w:rPr>
          <w:rFonts w:hint="eastAsia" w:ascii="微软雅黑" w:hAnsi="微软雅黑" w:eastAsia="微软雅黑" w:cs="微软雅黑"/>
          <w:b/>
          <w:bCs/>
          <w:color w:val="000000"/>
          <w:sz w:val="39"/>
          <w:szCs w:val="39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9"/>
          <w:szCs w:val="39"/>
          <w:bdr w:val="none" w:color="auto" w:sz="0" w:space="0"/>
          <w:shd w:val="clear" w:fill="FFFFFF"/>
        </w:rPr>
        <w:t>住房城乡建设部关于印发海绵城市建设技术指南——低影响开发雨水系统构建（试行）的通知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95" w:afterAutospacing="0" w:line="285" w:lineRule="atLeast"/>
        <w:ind w:left="0" w:right="0"/>
        <w:jc w:val="center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建城函[2014]275号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各省、自治区住房城乡建设厅，北京市交通委、市政市容委、园林绿化局、水务局，天津市城乡建设委、市容园林委、水务局，上海市城乡建设和管理委、绿化市容局、水务局，重庆市城乡建委、市政管委、园林局，海南省水务厅，新疆生产建设兵团建设局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 w:firstLine="48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为贯彻习近平总书记讲话及中央城镇化工作会议精神，落实《国务院关于加强城市基础设施建设的意见》（国发[2013]36号）、《国务院办公厅关于做好城市排水防涝设施建设工作的通知》（国办发[2013]23号）要求，建设自然积存、自然渗透、自然净化的海绵城市，我部组织编制了《海绵城市建设技术指南——低影响开发雨水系统构建（试行）》。现印发给你们，请各地结合实际，参照本技术指南，积极推进海绵城市建设。我部将组织开展海绵城市建设试点示范工作，有关具体要求另行通知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 w:firstLine="48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中华人民共和国住房和城乡建设部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 w:firstLine="480"/>
        <w:jc w:val="right"/>
        <w:rPr>
          <w:rFonts w:hint="eastAsia" w:ascii="微软雅黑" w:hAnsi="微软雅黑" w:eastAsia="微软雅黑" w:cs="微软雅黑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2014年10月22日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ocialshar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CB6963"/>
    <w:rsid w:val="53CB6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2022-03-25T07:28:00Z</dcterms:created>
  <dc:creator>清风</dc:creator>
  <cp:lastModifiedBy>清风</cp:lastModifiedBy>
  <dcterms:modified xsi:type="dcterms:W3CDTF">2022-03-25T07:30:18Z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6DC68A283B8F441EB35A699284FD1C70</vt:lpwstr>
  </property>
</Properties>
</file>