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675" w:lineRule="atLeast"/>
        <w:ind w:left="0" w:right="0" w:firstLine="0"/>
        <w:jc w:val="center"/>
        <w:rPr>
          <w:rFonts w:ascii="微软雅黑" w:hAnsi="微软雅黑" w:eastAsia="微软雅黑" w:cs="微软雅黑"/>
          <w:b w:val="0"/>
          <w:bCs w:val="0"/>
          <w:i w:val="0"/>
          <w:iCs w:val="0"/>
          <w:caps w:val="0"/>
          <w:color w:val="333333"/>
          <w:spacing w:val="0"/>
          <w:sz w:val="45"/>
          <w:szCs w:val="45"/>
        </w:rPr>
      </w:pPr>
      <w:r>
        <w:rPr>
          <w:rFonts w:hint="eastAsia" w:ascii="微软雅黑" w:hAnsi="微软雅黑" w:eastAsia="微软雅黑" w:cs="微软雅黑"/>
          <w:b w:val="0"/>
          <w:bCs w:val="0"/>
          <w:i w:val="0"/>
          <w:iCs w:val="0"/>
          <w:caps w:val="0"/>
          <w:color w:val="333333"/>
          <w:spacing w:val="0"/>
          <w:sz w:val="45"/>
          <w:szCs w:val="45"/>
          <w:bdr w:val="none" w:color="auto" w:sz="0" w:space="0"/>
          <w:shd w:val="clear" w:fill="FFFFFF"/>
        </w:rPr>
        <w:t>财政部 住房城乡建设部 水利部</w:t>
      </w:r>
      <w:r>
        <w:rPr>
          <w:rFonts w:hint="eastAsia" w:ascii="微软雅黑" w:hAnsi="微软雅黑" w:eastAsia="微软雅黑" w:cs="微软雅黑"/>
          <w:b w:val="0"/>
          <w:bCs w:val="0"/>
          <w:i w:val="0"/>
          <w:iCs w:val="0"/>
          <w:caps w:val="0"/>
          <w:color w:val="333333"/>
          <w:spacing w:val="0"/>
          <w:sz w:val="45"/>
          <w:szCs w:val="45"/>
          <w:bdr w:val="none" w:color="auto" w:sz="0" w:space="0"/>
          <w:shd w:val="clear" w:fill="FFFFFF"/>
        </w:rPr>
        <w:br w:type="textWrapping"/>
      </w:r>
      <w:r>
        <w:rPr>
          <w:rFonts w:hint="eastAsia" w:ascii="微软雅黑" w:hAnsi="微软雅黑" w:eastAsia="微软雅黑" w:cs="微软雅黑"/>
          <w:b w:val="0"/>
          <w:bCs w:val="0"/>
          <w:i w:val="0"/>
          <w:iCs w:val="0"/>
          <w:caps w:val="0"/>
          <w:color w:val="333333"/>
          <w:spacing w:val="0"/>
          <w:sz w:val="45"/>
          <w:szCs w:val="45"/>
          <w:bdr w:val="none" w:color="auto" w:sz="0" w:space="0"/>
          <w:shd w:val="clear" w:fill="FFFFFF"/>
        </w:rPr>
        <w:t>关于开展中央财政支持海绵城市建设试点工作的通知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300" w:afterAutospacing="0" w:line="600" w:lineRule="atLeast"/>
        <w:ind w:left="0" w:right="0"/>
        <w:jc w:val="left"/>
        <w:rPr>
          <w:color w:val="999999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999999"/>
          <w:spacing w:val="0"/>
          <w:sz w:val="22"/>
          <w:szCs w:val="22"/>
          <w:bdr w:val="none" w:color="auto" w:sz="0" w:space="0"/>
          <w:shd w:val="clear" w:fill="FFFFFF"/>
        </w:rPr>
        <w:t>发布日期：2015年06月11日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600" w:lineRule="atLeast"/>
        <w:ind w:left="0" w:right="0" w:firstLine="0"/>
        <w:jc w:val="center"/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sz w:val="22"/>
          <w:szCs w:val="22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kern w:val="0"/>
          <w:sz w:val="27"/>
          <w:szCs w:val="27"/>
          <w:u w:val="none"/>
          <w:bdr w:val="none" w:color="auto" w:sz="0" w:space="0"/>
          <w:shd w:val="clear" w:fill="FFFFFF"/>
          <w:lang w:val="en-US" w:eastAsia="zh-CN" w:bidi="ar"/>
        </w:rPr>
        <w:fldChar w:fldCharType="begin"/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kern w:val="0"/>
          <w:sz w:val="27"/>
          <w:szCs w:val="27"/>
          <w:u w:val="none"/>
          <w:bdr w:val="none" w:color="auto" w:sz="0" w:space="0"/>
          <w:shd w:val="clear" w:fill="FFFFFF"/>
          <w:lang w:val="en-US" w:eastAsia="zh-CN" w:bidi="ar"/>
        </w:rPr>
        <w:instrText xml:space="preserve"> HYPERLINK "http://www.mof.gov.cn/gkml/caizhengwengao/wg2015/wg201502/201506/t20150611_1256072.htm" \o "分享到新浪微博" </w:instrTex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kern w:val="0"/>
          <w:sz w:val="27"/>
          <w:szCs w:val="27"/>
          <w:u w:val="none"/>
          <w:bdr w:val="none" w:color="auto" w:sz="0" w:space="0"/>
          <w:shd w:val="clear" w:fill="FFFFFF"/>
          <w:lang w:val="en-US" w:eastAsia="zh-CN" w:bidi="ar"/>
        </w:rPr>
        <w:fldChar w:fldCharType="separate"/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kern w:val="0"/>
          <w:sz w:val="27"/>
          <w:szCs w:val="27"/>
          <w:u w:val="none"/>
          <w:bdr w:val="none" w:color="auto" w:sz="0" w:space="0"/>
          <w:shd w:val="clear" w:fill="FFFFFF"/>
          <w:lang w:val="en-US" w:eastAsia="zh-CN" w:bidi="ar"/>
        </w:rPr>
        <w:fldChar w:fldCharType="end"/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kern w:val="0"/>
          <w:sz w:val="27"/>
          <w:szCs w:val="27"/>
          <w:u w:val="none"/>
          <w:bdr w:val="none" w:color="auto" w:sz="0" w:space="0"/>
          <w:shd w:val="clear" w:fill="FFFFFF"/>
          <w:lang w:val="en-US" w:eastAsia="zh-CN" w:bidi="ar"/>
        </w:rPr>
        <w:fldChar w:fldCharType="begin"/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kern w:val="0"/>
          <w:sz w:val="27"/>
          <w:szCs w:val="27"/>
          <w:u w:val="none"/>
          <w:bdr w:val="none" w:color="auto" w:sz="0" w:space="0"/>
          <w:shd w:val="clear" w:fill="FFFFFF"/>
          <w:lang w:val="en-US" w:eastAsia="zh-CN" w:bidi="ar"/>
        </w:rPr>
        <w:instrText xml:space="preserve"> HYPERLINK "http://www.mof.gov.cn/gkml/caizhengwengao/wg2015/wg201502/201506/t20150611_1256072.htm" \o "分享到微信" </w:instrTex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kern w:val="0"/>
          <w:sz w:val="27"/>
          <w:szCs w:val="27"/>
          <w:u w:val="none"/>
          <w:bdr w:val="none" w:color="auto" w:sz="0" w:space="0"/>
          <w:shd w:val="clear" w:fill="FFFFFF"/>
          <w:lang w:val="en-US" w:eastAsia="zh-CN" w:bidi="ar"/>
        </w:rPr>
        <w:fldChar w:fldCharType="separate"/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kern w:val="0"/>
          <w:sz w:val="27"/>
          <w:szCs w:val="27"/>
          <w:u w:val="none"/>
          <w:bdr w:val="none" w:color="auto" w:sz="0" w:space="0"/>
          <w:shd w:val="clear" w:fill="FFFFFF"/>
          <w:lang w:val="en-US" w:eastAsia="zh-CN" w:bidi="ar"/>
        </w:rPr>
        <w:fldChar w:fldCharType="end"/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kern w:val="0"/>
          <w:sz w:val="27"/>
          <w:szCs w:val="27"/>
          <w:u w:val="none"/>
          <w:bdr w:val="none" w:color="auto" w:sz="0" w:space="0"/>
          <w:shd w:val="clear" w:fill="FFFFFF"/>
          <w:lang w:val="en-US" w:eastAsia="zh-CN" w:bidi="ar"/>
        </w:rPr>
        <w:fldChar w:fldCharType="begin"/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kern w:val="0"/>
          <w:sz w:val="27"/>
          <w:szCs w:val="27"/>
          <w:u w:val="none"/>
          <w:bdr w:val="none" w:color="auto" w:sz="0" w:space="0"/>
          <w:shd w:val="clear" w:fill="FFFFFF"/>
          <w:lang w:val="en-US" w:eastAsia="zh-CN" w:bidi="ar"/>
        </w:rPr>
        <w:instrText xml:space="preserve"> HYPERLINK "http://www.mof.gov.cn/gkml/caizhengwengao/wg2015/wg201502/201506/t20150611_1256072.htm" </w:instrTex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kern w:val="0"/>
          <w:sz w:val="27"/>
          <w:szCs w:val="27"/>
          <w:u w:val="none"/>
          <w:bdr w:val="none" w:color="auto" w:sz="0" w:space="0"/>
          <w:shd w:val="clear" w:fill="FFFFFF"/>
          <w:lang w:val="en-US" w:eastAsia="zh-CN" w:bidi="ar"/>
        </w:rPr>
        <w:fldChar w:fldCharType="separate"/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kern w:val="0"/>
          <w:sz w:val="27"/>
          <w:szCs w:val="27"/>
          <w:u w:val="none"/>
          <w:bdr w:val="none" w:color="auto" w:sz="0" w:space="0"/>
          <w:shd w:val="clear" w:fill="FFFFFF"/>
          <w:lang w:val="en-US" w:eastAsia="zh-CN" w:bidi="ar"/>
        </w:rPr>
        <w:fldChar w:fldCharType="end"/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150" w:afterAutospacing="0" w:line="480" w:lineRule="atLeast"/>
        <w:ind w:left="0" w:right="0"/>
        <w:jc w:val="center"/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sz w:val="24"/>
          <w:szCs w:val="24"/>
          <w:bdr w:val="none" w:color="auto" w:sz="0" w:space="0"/>
          <w:shd w:val="clear" w:fill="FFFFFF"/>
        </w:rPr>
        <w:t>2014年12月31日 财建[2014]838号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150" w:afterAutospacing="0" w:line="480" w:lineRule="atLeast"/>
        <w:ind w:left="0" w:right="0"/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sz w:val="24"/>
          <w:szCs w:val="24"/>
          <w:bdr w:val="none" w:color="auto" w:sz="0" w:space="0"/>
          <w:shd w:val="clear" w:fill="FFFFFF"/>
        </w:rPr>
        <w:t>各省、自治区财政厅（局）、住房城乡建设厅（局、委）、水利厅（局），直辖市财政局、建委（交通委、园林局、市容园林委、绿化市容局、市政管委）、水利（水务）局，计划单列市财政局、城建局（城管局、市政公用局、园林局）、水利（水务）局：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150" w:afterAutospacing="0" w:line="480" w:lineRule="atLeast"/>
        <w:ind w:left="0" w:right="0"/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sz w:val="24"/>
          <w:szCs w:val="24"/>
          <w:bdr w:val="none" w:color="auto" w:sz="0" w:space="0"/>
          <w:shd w:val="clear" w:fill="FFFFFF"/>
        </w:rPr>
        <w:t>　　根据习近平总书记关于“加强海绵城市建设”的讲话精神和近期中央经济工作会要求，经研究，财政部、住房城乡建设部、水利部决定开展中央财政支持海绵城市建设试点工作。现将有关事项通知如下：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150" w:afterAutospacing="0" w:line="480" w:lineRule="atLeast"/>
        <w:ind w:left="0" w:right="0"/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sz w:val="24"/>
          <w:szCs w:val="24"/>
          <w:bdr w:val="none" w:color="auto" w:sz="0" w:space="0"/>
          <w:shd w:val="clear" w:fill="FFFFFF"/>
        </w:rPr>
        <w:t>　　一、中央财政对海绵城市建设试点给予专项资金补助，一定三年，具体补助数额按城市规模分档确定，直辖市每年6亿元，省会城市每年5亿元，其他城市每年4亿元。对采用PPP模式达到一定比例的，将按上述补助基数奖励10%。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150" w:afterAutospacing="0" w:line="480" w:lineRule="atLeast"/>
        <w:ind w:left="0" w:right="0"/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sz w:val="24"/>
          <w:szCs w:val="24"/>
          <w:bdr w:val="none" w:color="auto" w:sz="0" w:space="0"/>
          <w:shd w:val="clear" w:fill="FFFFFF"/>
        </w:rPr>
        <w:t>　　二、试点城市由省级财政、住房城乡建设、水利部</w:t>
      </w:r>
      <w:bookmarkStart w:id="0" w:name="_GoBack"/>
      <w:bookmarkEnd w:id="0"/>
      <w:r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sz w:val="24"/>
          <w:szCs w:val="24"/>
          <w:bdr w:val="none" w:color="auto" w:sz="0" w:space="0"/>
          <w:shd w:val="clear" w:fill="FFFFFF"/>
        </w:rPr>
        <w:t>门联合申报。试点城市应将城市建设成具有吸水、蓄水、净水和释水功能的海绵体，提高城市防洪排涝减灾能力。试点城市年径流总量目标控制率应达到住房城乡建设部《海绵城市建设技术指南》要求。试点城市按三年滚动预算要求编制实施方案，实施方案编制指南另行印发。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150" w:afterAutospacing="0" w:line="480" w:lineRule="atLeast"/>
        <w:ind w:left="0" w:right="0"/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sz w:val="24"/>
          <w:szCs w:val="24"/>
          <w:bdr w:val="none" w:color="auto" w:sz="0" w:space="0"/>
          <w:shd w:val="clear" w:fill="FFFFFF"/>
        </w:rPr>
        <w:t>　　三、采取竞争性评审方式选择试点城市。财政部、住房城乡建设部、水利部将对申报城市进行资格审核。对通过资格审核的城市，财政部、住房城乡建设部、水利部将组织城市公开答辩，由专家进行现场评审，现场公布评审结果。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150" w:afterAutospacing="0" w:line="480" w:lineRule="atLeast"/>
        <w:ind w:left="0" w:right="0"/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sz w:val="24"/>
          <w:szCs w:val="24"/>
          <w:bdr w:val="none" w:color="auto" w:sz="0" w:space="0"/>
          <w:shd w:val="clear" w:fill="FFFFFF"/>
        </w:rPr>
        <w:t>　　四、对试点工作开展绩效评价。财政部、住房城乡建设部、水利部定期组织绩效评价，并根据绩效评价结果进行奖罚。评价结果好的，按中央财政补助资金基数10%给予奖励；评价结果差的，扣回中央财政补助资金。具体绩效评价办法另行制定。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150" w:afterAutospacing="0" w:line="480" w:lineRule="atLeast"/>
        <w:ind w:left="0" w:right="0"/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sz w:val="24"/>
          <w:szCs w:val="24"/>
          <w:bdr w:val="none" w:color="auto" w:sz="0" w:space="0"/>
          <w:shd w:val="clear" w:fill="FFFFFF"/>
        </w:rPr>
        <w:t>　　五、各地财政、住房城乡建设、水利部门应高度重视此项工作，积极谋划，组织有关城市做好实施方案编制工作，研究制定配套政策。具体申报工作另行通知。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150" w:afterAutospacing="0" w:line="480" w:lineRule="atLeast"/>
        <w:ind w:left="0" w:right="0"/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sz w:val="24"/>
          <w:szCs w:val="24"/>
          <w:bdr w:val="none" w:color="auto" w:sz="0" w:space="0"/>
          <w:shd w:val="clear" w:fill="FFFFFF"/>
        </w:rPr>
        <w:t>　　抄送：财政部驻各省、自治区、直辖市、计划单列市财政监察专员办事处。</w:t>
      </w: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9F32542"/>
    <w:rsid w:val="19F325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2"/>
    <w:basedOn w:val="1"/>
    <w:next w:val="1"/>
    <w:semiHidden/>
    <w:unhideWhenUsed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0"/>
      <w:sz w:val="36"/>
      <w:szCs w:val="36"/>
      <w:lang w:val="en-US" w:eastAsia="zh-CN" w:bidi="ar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Normal (Web)"/>
    <w:basedOn w:val="1"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</TotalTime>
  <ScaleCrop>false</ScaleCrop>
  <LinksUpToDate>false</LinksUpToDate>
  <CharactersWithSpaces>0</CharactersWithSpaces>
  <Application>WPS Office_11.1.0.11566_F1E327BC-269C-435d-A152-05C5408002CA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2022-03-25T06:41:00Z</dcterms:created>
  <dc:creator>清风</dc:creator>
  <cp:lastModifiedBy>清风</cp:lastModifiedBy>
  <dcterms:modified xsi:type="dcterms:W3CDTF">2022-03-25T06:44:00Z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2052-11.1.0.11566</vt:lpwstr>
  </property>
  <property fmtid="{D5CDD505-2E9C-101B-9397-08002B2CF9AE}" pid="3" name="ICV">
    <vt:lpwstr>D2A3B4A47C804DD9B29F5429B45C6185</vt:lpwstr>
  </property>
</Properties>
</file>