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ascii="Arial" w:hAnsi="Arial" w:eastAsia="Arial" w:cs="Arial"/>
          <w:i w:val="0"/>
          <w:iCs w:val="0"/>
          <w:caps w:val="0"/>
          <w:color w:val="565862"/>
          <w:spacing w:val="0"/>
          <w:sz w:val="24"/>
          <w:szCs w:val="24"/>
        </w:rPr>
      </w:pPr>
      <w:r>
        <w:rPr>
          <w:rStyle w:val="4"/>
          <w:rFonts w:hint="default" w:ascii="Arial" w:hAnsi="Arial" w:eastAsia="Arial" w:cs="Arial"/>
          <w:i w:val="0"/>
          <w:iCs w:val="0"/>
          <w:caps w:val="0"/>
          <w:color w:val="565862"/>
          <w:spacing w:val="0"/>
          <w:kern w:val="0"/>
          <w:sz w:val="36"/>
          <w:szCs w:val="36"/>
          <w:bdr w:val="none" w:color="auto" w:sz="0" w:space="0"/>
          <w:lang w:val="en-US" w:eastAsia="zh-CN" w:bidi="ar"/>
        </w:rPr>
        <w:t>关于政协第十三届全国委员会第三次会议第4050号</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ascii="Arial" w:hAnsi="Arial" w:eastAsia="Arial" w:cs="Arial"/>
          <w:i w:val="0"/>
          <w:iCs w:val="0"/>
          <w:caps w:val="0"/>
          <w:color w:val="565862"/>
          <w:spacing w:val="0"/>
          <w:sz w:val="24"/>
          <w:szCs w:val="24"/>
        </w:rPr>
      </w:pPr>
      <w:r>
        <w:rPr>
          <w:rStyle w:val="4"/>
          <w:rFonts w:hint="default" w:ascii="Arial" w:hAnsi="Arial" w:eastAsia="Arial" w:cs="Arial"/>
          <w:i w:val="0"/>
          <w:iCs w:val="0"/>
          <w:caps w:val="0"/>
          <w:color w:val="565862"/>
          <w:spacing w:val="0"/>
          <w:kern w:val="0"/>
          <w:sz w:val="36"/>
          <w:szCs w:val="36"/>
          <w:bdr w:val="none" w:color="auto" w:sz="0" w:space="0"/>
          <w:lang w:val="en-US" w:eastAsia="zh-CN" w:bidi="ar"/>
        </w:rPr>
        <w:t>（经济发展类333号）提案答复的函</w:t>
      </w:r>
    </w:p>
    <w:p>
      <w:pPr>
        <w:keepNext w:val="0"/>
        <w:keepLines w:val="0"/>
        <w:widowControl/>
        <w:suppressLineNumbers w:val="0"/>
        <w:spacing w:after="240" w:afterAutospacing="0"/>
        <w:jc w:val="left"/>
      </w:pPr>
      <w:r>
        <w:rPr>
          <w:rFonts w:hint="default" w:ascii="Arial" w:hAnsi="Arial" w:eastAsia="Arial" w:cs="Arial"/>
          <w:i w:val="0"/>
          <w:iCs w:val="0"/>
          <w:caps w:val="0"/>
          <w:color w:val="565862"/>
          <w:spacing w:val="0"/>
          <w:kern w:val="0"/>
          <w:sz w:val="24"/>
          <w:szCs w:val="24"/>
          <w:bdr w:val="none" w:color="auto" w:sz="0" w:space="0"/>
          <w:lang w:val="en-US" w:eastAsia="zh-CN" w:bidi="ar"/>
        </w:rPr>
        <w:br w:type="textWrapping"/>
      </w:r>
      <w:r>
        <w:rPr>
          <w:rFonts w:ascii="宋体" w:hAnsi="宋体" w:eastAsia="宋体" w:cs="宋体"/>
          <w:i w:val="0"/>
          <w:iCs w:val="0"/>
          <w:caps w:val="0"/>
          <w:color w:val="565862"/>
          <w:spacing w:val="0"/>
          <w:kern w:val="0"/>
          <w:sz w:val="24"/>
          <w:szCs w:val="24"/>
          <w:bdr w:val="none" w:color="auto" w:sz="0" w:space="0"/>
          <w:lang w:val="en-US" w:eastAsia="zh-CN" w:bidi="ar"/>
        </w:rPr>
        <w:t>  您提出的关于落实综合管廊有偿使用制度的提案收悉。经商财政部、住房城乡建设部、国资委、国家能源局，现答复如下。</w:t>
      </w:r>
      <w:r>
        <w:rPr>
          <w:rFonts w:hint="default" w:ascii="Arial" w:hAnsi="Arial" w:eastAsia="Arial" w:cs="Arial"/>
          <w:i w:val="0"/>
          <w:iCs w:val="0"/>
          <w:caps w:val="0"/>
          <w:color w:val="565862"/>
          <w:spacing w:val="0"/>
          <w:kern w:val="0"/>
          <w:sz w:val="24"/>
          <w:szCs w:val="24"/>
          <w:bdr w:val="none" w:color="auto" w:sz="0" w:space="0"/>
          <w:lang w:val="en-US" w:eastAsia="zh-CN" w:bidi="ar"/>
        </w:rPr>
        <w:br w:type="textWrapping"/>
      </w:r>
      <w:r>
        <w:rPr>
          <w:rFonts w:ascii="宋体" w:hAnsi="宋体" w:eastAsia="宋体" w:cs="宋体"/>
          <w:i w:val="0"/>
          <w:iCs w:val="0"/>
          <w:caps w:val="0"/>
          <w:color w:val="565862"/>
          <w:spacing w:val="0"/>
          <w:kern w:val="0"/>
          <w:sz w:val="24"/>
          <w:szCs w:val="24"/>
          <w:bdr w:val="none" w:color="auto" w:sz="0" w:space="0"/>
          <w:lang w:val="en-US" w:eastAsia="zh-CN" w:bidi="ar"/>
        </w:rPr>
        <w:t>  推进地下综合管廊建设是党中央、国务院为加快补齐地下管线设施短板，推动基础设施高质量发展的重大决策部署。综合管廊实行有偿使用，建立合理的收费机制是促进管廊建设可持续发展的一项重要制度性安排。近年来，我委会同有关部门认真贯彻落实党中央、国务院决策部署，在建立健全城市地下综合管廊有偿使用制度方面制定出台了一系列政策措施。</w:t>
      </w:r>
      <w:r>
        <w:rPr>
          <w:rFonts w:hint="default" w:ascii="Arial" w:hAnsi="Arial" w:eastAsia="Arial" w:cs="Arial"/>
          <w:i w:val="0"/>
          <w:iCs w:val="0"/>
          <w:caps w:val="0"/>
          <w:color w:val="565862"/>
          <w:spacing w:val="0"/>
          <w:kern w:val="0"/>
          <w:sz w:val="24"/>
          <w:szCs w:val="24"/>
          <w:bdr w:val="none" w:color="auto" w:sz="0" w:space="0"/>
          <w:lang w:val="en-US" w:eastAsia="zh-CN" w:bidi="ar"/>
        </w:rPr>
        <w:br w:type="textWrapping"/>
      </w:r>
      <w:r>
        <w:rPr>
          <w:rFonts w:ascii="宋体" w:hAnsi="宋体" w:eastAsia="宋体" w:cs="宋体"/>
          <w:i w:val="0"/>
          <w:iCs w:val="0"/>
          <w:caps w:val="0"/>
          <w:color w:val="565862"/>
          <w:spacing w:val="0"/>
          <w:kern w:val="0"/>
          <w:sz w:val="24"/>
          <w:szCs w:val="24"/>
          <w:bdr w:val="none" w:color="auto" w:sz="0" w:space="0"/>
          <w:lang w:val="en-US" w:eastAsia="zh-CN" w:bidi="ar"/>
        </w:rPr>
        <w:t>  </w:t>
      </w:r>
      <w:r>
        <w:rPr>
          <w:rStyle w:val="4"/>
          <w:rFonts w:hint="default" w:ascii="Arial" w:hAnsi="Arial" w:eastAsia="Arial" w:cs="Arial"/>
          <w:i w:val="0"/>
          <w:iCs w:val="0"/>
          <w:caps w:val="0"/>
          <w:color w:val="565862"/>
          <w:spacing w:val="0"/>
          <w:kern w:val="0"/>
          <w:sz w:val="24"/>
          <w:szCs w:val="24"/>
          <w:bdr w:val="none" w:color="auto" w:sz="0" w:space="0"/>
          <w:lang w:val="en-US" w:eastAsia="zh-CN" w:bidi="ar"/>
        </w:rPr>
        <w:t>一、关于有偿使用费定价机制</w:t>
      </w:r>
      <w:r>
        <w:rPr>
          <w:rFonts w:hint="default" w:ascii="Arial" w:hAnsi="Arial" w:eastAsia="Arial" w:cs="Arial"/>
          <w:i w:val="0"/>
          <w:iCs w:val="0"/>
          <w:caps w:val="0"/>
          <w:color w:val="565862"/>
          <w:spacing w:val="0"/>
          <w:kern w:val="0"/>
          <w:sz w:val="24"/>
          <w:szCs w:val="24"/>
          <w:bdr w:val="none" w:color="auto" w:sz="0" w:space="0"/>
          <w:lang w:val="en-US" w:eastAsia="zh-CN" w:bidi="ar"/>
        </w:rPr>
        <w:br w:type="textWrapping"/>
      </w:r>
      <w:r>
        <w:rPr>
          <w:rFonts w:ascii="宋体" w:hAnsi="宋体" w:eastAsia="宋体" w:cs="宋体"/>
          <w:i w:val="0"/>
          <w:iCs w:val="0"/>
          <w:caps w:val="0"/>
          <w:color w:val="565862"/>
          <w:spacing w:val="0"/>
          <w:kern w:val="0"/>
          <w:sz w:val="24"/>
          <w:szCs w:val="24"/>
          <w:bdr w:val="none" w:color="auto" w:sz="0" w:space="0"/>
          <w:lang w:val="en-US" w:eastAsia="zh-CN" w:bidi="ar"/>
        </w:rPr>
        <w:t>  2015年，国务院办公厅印发《关于推进城市地下综合管廊建设的指导意见》（国办发〔2015〕61号），明确“入廊管线单位应向地下综合管廊建设运营单位交纳入廊费和日常维护费，具体收费标准要统筹考虑建设和运营、成本和收益的关系，由地下综合管廊建设运营单位与入廊管线单位根据市场化原则共同协商确定”。为贯彻落实《国务院办公厅关于推进城市地下综合管廊建设的指导意见》（国办发〔2015〕61号），使市场在资源配置中起决定性作用和更好发挥政府作用，形成合理收费机制，促进城市地下综合管廊建设发展，2015年，我委会同住房城乡建设部印发《关于城市地下综合管廊实行有偿使用制度的指导意见》（发改价格〔2015〕2754号），指导各地价格、住房城乡建设主管部门，建立健全城市地下综合管廊有偿使用制度。明确城市地下综合管廊有偿使用费标准原则上应由管廊建设运营单位与入廊管线单位共同协商确定，并由供需双方按照市场化原则签订协议，约定付费方式、计费周期、费用标准定期调整机制等事项。供需双方协商确定有偿使用费标准，不能取得一致意见时，由所在城市人民政府组织价格、住房城乡建设主管等部门进行协调。</w:t>
      </w:r>
      <w:r>
        <w:rPr>
          <w:rFonts w:hint="default" w:ascii="Arial" w:hAnsi="Arial" w:eastAsia="Arial" w:cs="Arial"/>
          <w:i w:val="0"/>
          <w:iCs w:val="0"/>
          <w:caps w:val="0"/>
          <w:color w:val="565862"/>
          <w:spacing w:val="0"/>
          <w:kern w:val="0"/>
          <w:sz w:val="24"/>
          <w:szCs w:val="24"/>
          <w:bdr w:val="none" w:color="auto" w:sz="0" w:space="0"/>
          <w:lang w:val="en-US" w:eastAsia="zh-CN" w:bidi="ar"/>
        </w:rPr>
        <w:br w:type="textWrapping"/>
      </w:r>
      <w:r>
        <w:rPr>
          <w:rFonts w:ascii="宋体" w:hAnsi="宋体" w:eastAsia="宋体" w:cs="宋体"/>
          <w:i w:val="0"/>
          <w:iCs w:val="0"/>
          <w:caps w:val="0"/>
          <w:color w:val="565862"/>
          <w:spacing w:val="0"/>
          <w:kern w:val="0"/>
          <w:sz w:val="24"/>
          <w:szCs w:val="24"/>
          <w:bdr w:val="none" w:color="auto" w:sz="0" w:space="0"/>
          <w:lang w:val="en-US" w:eastAsia="zh-CN" w:bidi="ar"/>
        </w:rPr>
        <w:t>  管廊有偿使用费是否列入地方定价目录由各地根据本地区实际情况确定。纳入地方定价目录管理的，可由省级价格主管部门会同住房城乡建设主管部门或省人民政府授权城市人民政府，依法制定有偿使用费标准或政府指导价的基准价、浮动幅度，并规定付费方式、计费周期、定期调整机制等有关事项。部分省份已将管廊有偿使用费纳入地方定价目录，实行政府定价或政府指导价管理。如，甘肃、重庆等授权市（州、区）、县人民政府制定收费标准，并明确具备竞争条件的除外；广西授权南宁市人民政府制定具体收费标准等。截至目前，25个试点城市中有24个城市出台了有偿使用收费标准，厦门、苏州等17个城市通过管线单位入股、低价引导、先入后缴、分期支付等有效措施，落实管廊有偿使用费超过3亿元。下一步，结合修订地方定价目录，我委将督促指导各地进一步完善城市地下综合管廊收费政策，合理确定定价形式。</w:t>
      </w:r>
      <w:r>
        <w:rPr>
          <w:rFonts w:hint="default" w:ascii="Arial" w:hAnsi="Arial" w:eastAsia="Arial" w:cs="Arial"/>
          <w:i w:val="0"/>
          <w:iCs w:val="0"/>
          <w:caps w:val="0"/>
          <w:color w:val="565862"/>
          <w:spacing w:val="0"/>
          <w:kern w:val="0"/>
          <w:sz w:val="24"/>
          <w:szCs w:val="24"/>
          <w:bdr w:val="none" w:color="auto" w:sz="0" w:space="0"/>
          <w:lang w:val="en-US" w:eastAsia="zh-CN" w:bidi="ar"/>
        </w:rPr>
        <w:br w:type="textWrapping"/>
      </w:r>
      <w:r>
        <w:rPr>
          <w:rFonts w:ascii="宋体" w:hAnsi="宋体" w:eastAsia="宋体" w:cs="宋体"/>
          <w:i w:val="0"/>
          <w:iCs w:val="0"/>
          <w:caps w:val="0"/>
          <w:color w:val="565862"/>
          <w:spacing w:val="0"/>
          <w:kern w:val="0"/>
          <w:sz w:val="24"/>
          <w:szCs w:val="24"/>
          <w:bdr w:val="none" w:color="auto" w:sz="0" w:space="0"/>
          <w:lang w:val="en-US" w:eastAsia="zh-CN" w:bidi="ar"/>
        </w:rPr>
        <w:t>  </w:t>
      </w:r>
      <w:r>
        <w:rPr>
          <w:rStyle w:val="4"/>
          <w:rFonts w:hint="default" w:ascii="Arial" w:hAnsi="Arial" w:eastAsia="Arial" w:cs="Arial"/>
          <w:i w:val="0"/>
          <w:iCs w:val="0"/>
          <w:caps w:val="0"/>
          <w:color w:val="565862"/>
          <w:spacing w:val="0"/>
          <w:kern w:val="0"/>
          <w:sz w:val="24"/>
          <w:szCs w:val="24"/>
          <w:bdr w:val="none" w:color="auto" w:sz="0" w:space="0"/>
          <w:lang w:val="en-US" w:eastAsia="zh-CN" w:bidi="ar"/>
        </w:rPr>
        <w:t>二、关于电力管线入廊费用纳入建设预算和成本</w:t>
      </w:r>
      <w:r>
        <w:rPr>
          <w:rFonts w:hint="default" w:ascii="Arial" w:hAnsi="Arial" w:eastAsia="Arial" w:cs="Arial"/>
          <w:i w:val="0"/>
          <w:iCs w:val="0"/>
          <w:caps w:val="0"/>
          <w:color w:val="565862"/>
          <w:spacing w:val="0"/>
          <w:kern w:val="0"/>
          <w:sz w:val="24"/>
          <w:szCs w:val="24"/>
          <w:bdr w:val="none" w:color="auto" w:sz="0" w:space="0"/>
          <w:lang w:val="en-US" w:eastAsia="zh-CN" w:bidi="ar"/>
        </w:rPr>
        <w:br w:type="textWrapping"/>
      </w:r>
      <w:r>
        <w:rPr>
          <w:rFonts w:ascii="宋体" w:hAnsi="宋体" w:eastAsia="宋体" w:cs="宋体"/>
          <w:i w:val="0"/>
          <w:iCs w:val="0"/>
          <w:caps w:val="0"/>
          <w:color w:val="565862"/>
          <w:spacing w:val="0"/>
          <w:kern w:val="0"/>
          <w:sz w:val="24"/>
          <w:szCs w:val="24"/>
          <w:bdr w:val="none" w:color="auto" w:sz="0" w:space="0"/>
          <w:lang w:val="en-US" w:eastAsia="zh-CN" w:bidi="ar"/>
        </w:rPr>
        <w:t>  为科学合理核定省级电网企业输配电价，健全输配电定价制度，2020年1月，我委修订出台了《省级电网输配电价定价办法》（发改价格〔2020〕101号），对省级电网输配电准许成本做了明确规定，合理的成本都已经严格按照定价办法规定纳入输配电价成本。</w:t>
      </w:r>
      <w:r>
        <w:rPr>
          <w:rFonts w:hint="default" w:ascii="Arial" w:hAnsi="Arial" w:eastAsia="Arial" w:cs="Arial"/>
          <w:i w:val="0"/>
          <w:iCs w:val="0"/>
          <w:caps w:val="0"/>
          <w:color w:val="565862"/>
          <w:spacing w:val="0"/>
          <w:kern w:val="0"/>
          <w:sz w:val="24"/>
          <w:szCs w:val="24"/>
          <w:bdr w:val="none" w:color="auto" w:sz="0" w:space="0"/>
          <w:lang w:val="en-US" w:eastAsia="zh-CN" w:bidi="ar"/>
        </w:rPr>
        <w:br w:type="textWrapping"/>
      </w:r>
      <w:r>
        <w:rPr>
          <w:rFonts w:ascii="宋体" w:hAnsi="宋体" w:eastAsia="宋体" w:cs="宋体"/>
          <w:i w:val="0"/>
          <w:iCs w:val="0"/>
          <w:caps w:val="0"/>
          <w:color w:val="565862"/>
          <w:spacing w:val="0"/>
          <w:kern w:val="0"/>
          <w:sz w:val="24"/>
          <w:szCs w:val="24"/>
          <w:bdr w:val="none" w:color="auto" w:sz="0" w:space="0"/>
          <w:lang w:val="en-US" w:eastAsia="zh-CN" w:bidi="ar"/>
        </w:rPr>
        <w:t>  2015年起，财政部会同住房城乡建设部共同实施城市地下综合管廊建设试点工作，截至目前，共</w:t>
      </w:r>
      <w:bookmarkStart w:id="0" w:name="_GoBack"/>
      <w:bookmarkEnd w:id="0"/>
      <w:r>
        <w:rPr>
          <w:rFonts w:ascii="宋体" w:hAnsi="宋体" w:eastAsia="宋体" w:cs="宋体"/>
          <w:i w:val="0"/>
          <w:iCs w:val="0"/>
          <w:caps w:val="0"/>
          <w:color w:val="565862"/>
          <w:spacing w:val="0"/>
          <w:kern w:val="0"/>
          <w:sz w:val="24"/>
          <w:szCs w:val="24"/>
          <w:bdr w:val="none" w:color="auto" w:sz="0" w:space="0"/>
          <w:lang w:val="en-US" w:eastAsia="zh-CN" w:bidi="ar"/>
        </w:rPr>
        <w:t>支持了25个试点城市，累计安排中央财政资金291亿元，通过发挥中央财政资金的引导撬动作用，有力推动了各地城市地下综合管廊建设。从国外经验及试点探索的实践看，实现综合管廊良性运营的前提是科学论证，统筹规划，并建立完善有偿使用制度，确保管廊建设运营可持续。在试点过程中，个别城市在推进地下管廊建设时，盲目追求大规模、高标准，脱离地方财力实际，导致后期运营困难。鉴于上述情况，建议地方在推进地下综合管廊建设时，量入为出，合理规划，避免贪大求全，确保管廊建设运营可持续。</w:t>
      </w:r>
      <w:r>
        <w:rPr>
          <w:rFonts w:hint="default" w:ascii="Arial" w:hAnsi="Arial" w:eastAsia="Arial" w:cs="Arial"/>
          <w:i w:val="0"/>
          <w:iCs w:val="0"/>
          <w:caps w:val="0"/>
          <w:color w:val="565862"/>
          <w:spacing w:val="0"/>
          <w:kern w:val="0"/>
          <w:sz w:val="24"/>
          <w:szCs w:val="24"/>
          <w:bdr w:val="none" w:color="auto" w:sz="0" w:space="0"/>
          <w:lang w:val="en-US" w:eastAsia="zh-CN" w:bidi="ar"/>
        </w:rPr>
        <w:br w:type="textWrapping"/>
      </w:r>
      <w:r>
        <w:rPr>
          <w:rFonts w:ascii="宋体" w:hAnsi="宋体" w:eastAsia="宋体" w:cs="宋体"/>
          <w:i w:val="0"/>
          <w:iCs w:val="0"/>
          <w:caps w:val="0"/>
          <w:color w:val="565862"/>
          <w:spacing w:val="0"/>
          <w:kern w:val="0"/>
          <w:sz w:val="24"/>
          <w:szCs w:val="24"/>
          <w:bdr w:val="none" w:color="auto" w:sz="0" w:space="0"/>
          <w:lang w:val="en-US" w:eastAsia="zh-CN" w:bidi="ar"/>
        </w:rPr>
        <w:t>  </w:t>
      </w:r>
      <w:r>
        <w:rPr>
          <w:rStyle w:val="4"/>
          <w:rFonts w:hint="default" w:ascii="Arial" w:hAnsi="Arial" w:eastAsia="Arial" w:cs="Arial"/>
          <w:i w:val="0"/>
          <w:iCs w:val="0"/>
          <w:caps w:val="0"/>
          <w:color w:val="565862"/>
          <w:spacing w:val="0"/>
          <w:kern w:val="0"/>
          <w:sz w:val="24"/>
          <w:szCs w:val="24"/>
          <w:bdr w:val="none" w:color="auto" w:sz="0" w:space="0"/>
          <w:lang w:val="en-US" w:eastAsia="zh-CN" w:bidi="ar"/>
        </w:rPr>
        <w:t>三、关于国资委出台意见指导中央企业参与管廊建设</w:t>
      </w:r>
      <w:r>
        <w:rPr>
          <w:rFonts w:hint="default" w:ascii="Arial" w:hAnsi="Arial" w:eastAsia="Arial" w:cs="Arial"/>
          <w:i w:val="0"/>
          <w:iCs w:val="0"/>
          <w:caps w:val="0"/>
          <w:color w:val="565862"/>
          <w:spacing w:val="0"/>
          <w:kern w:val="0"/>
          <w:sz w:val="24"/>
          <w:szCs w:val="24"/>
          <w:bdr w:val="none" w:color="auto" w:sz="0" w:space="0"/>
          <w:lang w:val="en-US" w:eastAsia="zh-CN" w:bidi="ar"/>
        </w:rPr>
        <w:br w:type="textWrapping"/>
      </w:r>
      <w:r>
        <w:rPr>
          <w:rFonts w:ascii="宋体" w:hAnsi="宋体" w:eastAsia="宋体" w:cs="宋体"/>
          <w:i w:val="0"/>
          <w:iCs w:val="0"/>
          <w:caps w:val="0"/>
          <w:color w:val="565862"/>
          <w:spacing w:val="0"/>
          <w:kern w:val="0"/>
          <w:sz w:val="24"/>
          <w:szCs w:val="24"/>
          <w:bdr w:val="none" w:color="auto" w:sz="0" w:space="0"/>
          <w:lang w:val="en-US" w:eastAsia="zh-CN" w:bidi="ar"/>
        </w:rPr>
        <w:t>  国务院国资委支持中央企业落实党中央、国务院有关决策部署，积极配合做好所属管线入地入廊工作。按照《企业国有资产法》《企业国有资产监督管理暂行条例》规定，“国有资产监督管理机构不行使政府的社会公共管理职能”“按照政企分开、社会公共管理职能与国有企业出资人职能分开、不干预企业依法自主经营的原则，依法履行出资人职责”。近年来，国资委贯彻落实党中央、国务院关于完善国有资产监管体制的决策部署，以管资本为主加快推进职能转变，将依法应由企业自主经营决策的事项归位于企业，将配合承担的公共管理职能归位于相关政府部门和单位。基于以上考虑，由国资委出台指导意见鼓励中央企业积极参与管廊建设、做好所属管线入廊，不符合国资委的职能定位。</w:t>
      </w:r>
      <w:r>
        <w:rPr>
          <w:rFonts w:hint="default" w:ascii="Arial" w:hAnsi="Arial" w:eastAsia="Arial" w:cs="Arial"/>
          <w:i w:val="0"/>
          <w:iCs w:val="0"/>
          <w:caps w:val="0"/>
          <w:color w:val="565862"/>
          <w:spacing w:val="0"/>
          <w:kern w:val="0"/>
          <w:sz w:val="24"/>
          <w:szCs w:val="24"/>
          <w:bdr w:val="none" w:color="auto" w:sz="0" w:space="0"/>
          <w:lang w:val="en-US" w:eastAsia="zh-CN" w:bidi="ar"/>
        </w:rPr>
        <w:br w:type="textWrapping"/>
      </w:r>
      <w:r>
        <w:rPr>
          <w:rFonts w:ascii="宋体" w:hAnsi="宋体" w:eastAsia="宋体" w:cs="宋体"/>
          <w:i w:val="0"/>
          <w:iCs w:val="0"/>
          <w:caps w:val="0"/>
          <w:color w:val="565862"/>
          <w:spacing w:val="0"/>
          <w:kern w:val="0"/>
          <w:sz w:val="24"/>
          <w:szCs w:val="24"/>
          <w:bdr w:val="none" w:color="auto" w:sz="0" w:space="0"/>
          <w:lang w:val="en-US" w:eastAsia="zh-CN" w:bidi="ar"/>
        </w:rPr>
        <w:t>  现行《中央企业负责人经营业绩考核办法（试行）》坚持把落实习近平总书记重要指示批示和党中央决策部署放在首位，并作出明确规定。一是突出服务国家战略的考核导向，对主业处于关系国家安全、国民经济命脉的重要行业和关键领域、主要承担重大专项任务的商业类企业，在保证合理回报和国有资本保值增值的基础上，重点加强对服务国家战略和重大专项任务的考核，引导企业服务国家发展大局。二是健全业绩考核特殊事项清单管理制度，将企业承担的保障国家安全、提供公共服务等事项列入管理清单，对当期经营业绩产生重大影响的特殊事项，国资委在考核时予以适当考虑。</w:t>
      </w:r>
      <w:r>
        <w:rPr>
          <w:rFonts w:hint="default" w:ascii="Arial" w:hAnsi="Arial" w:eastAsia="Arial" w:cs="Arial"/>
          <w:i w:val="0"/>
          <w:iCs w:val="0"/>
          <w:caps w:val="0"/>
          <w:color w:val="565862"/>
          <w:spacing w:val="0"/>
          <w:kern w:val="0"/>
          <w:sz w:val="24"/>
          <w:szCs w:val="24"/>
          <w:bdr w:val="none" w:color="auto" w:sz="0" w:space="0"/>
          <w:lang w:val="en-US" w:eastAsia="zh-CN" w:bidi="ar"/>
        </w:rPr>
        <w:br w:type="textWrapping"/>
      </w:r>
      <w:r>
        <w:rPr>
          <w:rFonts w:ascii="宋体" w:hAnsi="宋体" w:eastAsia="宋体" w:cs="宋体"/>
          <w:i w:val="0"/>
          <w:iCs w:val="0"/>
          <w:caps w:val="0"/>
          <w:color w:val="565862"/>
          <w:spacing w:val="0"/>
          <w:kern w:val="0"/>
          <w:sz w:val="24"/>
          <w:szCs w:val="24"/>
          <w:bdr w:val="none" w:color="auto" w:sz="0" w:space="0"/>
          <w:lang w:val="en-US" w:eastAsia="zh-CN" w:bidi="ar"/>
        </w:rPr>
        <w:t>  </w:t>
      </w:r>
      <w:r>
        <w:rPr>
          <w:rStyle w:val="4"/>
          <w:rFonts w:hint="default" w:ascii="Arial" w:hAnsi="Arial" w:eastAsia="Arial" w:cs="Arial"/>
          <w:i w:val="0"/>
          <w:iCs w:val="0"/>
          <w:caps w:val="0"/>
          <w:color w:val="565862"/>
          <w:spacing w:val="0"/>
          <w:kern w:val="0"/>
          <w:sz w:val="24"/>
          <w:szCs w:val="24"/>
          <w:bdr w:val="none" w:color="auto" w:sz="0" w:space="0"/>
          <w:lang w:val="en-US" w:eastAsia="zh-CN" w:bidi="ar"/>
        </w:rPr>
        <w:t>四、关于指导电力企业配合地方开展相关工作</w:t>
      </w:r>
      <w:r>
        <w:rPr>
          <w:rFonts w:hint="default" w:ascii="Arial" w:hAnsi="Arial" w:eastAsia="Arial" w:cs="Arial"/>
          <w:i w:val="0"/>
          <w:iCs w:val="0"/>
          <w:caps w:val="0"/>
          <w:color w:val="565862"/>
          <w:spacing w:val="0"/>
          <w:kern w:val="0"/>
          <w:sz w:val="24"/>
          <w:szCs w:val="24"/>
          <w:bdr w:val="none" w:color="auto" w:sz="0" w:space="0"/>
          <w:lang w:val="en-US" w:eastAsia="zh-CN" w:bidi="ar"/>
        </w:rPr>
        <w:br w:type="textWrapping"/>
      </w:r>
      <w:r>
        <w:rPr>
          <w:rFonts w:ascii="宋体" w:hAnsi="宋体" w:eastAsia="宋体" w:cs="宋体"/>
          <w:i w:val="0"/>
          <w:iCs w:val="0"/>
          <w:caps w:val="0"/>
          <w:color w:val="565862"/>
          <w:spacing w:val="0"/>
          <w:kern w:val="0"/>
          <w:sz w:val="24"/>
          <w:szCs w:val="24"/>
          <w:bdr w:val="none" w:color="auto" w:sz="0" w:space="0"/>
          <w:lang w:val="en-US" w:eastAsia="zh-CN" w:bidi="ar"/>
        </w:rPr>
        <w:t>  2016年，住房城乡建设部、国家能源局联合印发《关于推进电力管线纳入地下综合管廊的意见》（建城〔2016〕98号），鼓励电网企业参与投资建设运营城市地下综合管廊，做好电力管线入廊工作。要求各地统筹管廊电网规划及年度建设计划，明确工程标准，加强入廊管理，实行有偿使用。据国家电网公司反映，其经营区域内电力管线入廊均由所在城市人民政府、电网企业与管廊建设运营单位采取协商方式办理入廊相关事宜。</w:t>
      </w:r>
      <w:r>
        <w:rPr>
          <w:rFonts w:hint="default" w:ascii="Arial" w:hAnsi="Arial" w:eastAsia="Arial" w:cs="Arial"/>
          <w:i w:val="0"/>
          <w:iCs w:val="0"/>
          <w:caps w:val="0"/>
          <w:color w:val="565862"/>
          <w:spacing w:val="0"/>
          <w:kern w:val="0"/>
          <w:sz w:val="24"/>
          <w:szCs w:val="24"/>
          <w:bdr w:val="none" w:color="auto" w:sz="0" w:space="0"/>
          <w:lang w:val="en-US" w:eastAsia="zh-CN" w:bidi="ar"/>
        </w:rPr>
        <w:br w:type="textWrapping"/>
      </w:r>
      <w:r>
        <w:rPr>
          <w:rFonts w:ascii="宋体" w:hAnsi="宋体" w:eastAsia="宋体" w:cs="宋体"/>
          <w:i w:val="0"/>
          <w:iCs w:val="0"/>
          <w:caps w:val="0"/>
          <w:color w:val="565862"/>
          <w:spacing w:val="0"/>
          <w:kern w:val="0"/>
          <w:sz w:val="24"/>
          <w:szCs w:val="24"/>
          <w:bdr w:val="none" w:color="auto" w:sz="0" w:space="0"/>
          <w:lang w:val="en-US" w:eastAsia="zh-CN" w:bidi="ar"/>
        </w:rPr>
        <w:t>  下一步，我们将积极配合住房城乡建设部等部门加强对城市地下综合管廊建设管理的指导工作，进一步完善有偿使用制度，进一步完善收费形成机制，促进城市地下综合管廊建设发展。</w:t>
      </w:r>
      <w:r>
        <w:rPr>
          <w:rFonts w:hint="default" w:ascii="Arial" w:hAnsi="Arial" w:eastAsia="Arial" w:cs="Arial"/>
          <w:i w:val="0"/>
          <w:iCs w:val="0"/>
          <w:caps w:val="0"/>
          <w:color w:val="565862"/>
          <w:spacing w:val="0"/>
          <w:kern w:val="0"/>
          <w:sz w:val="24"/>
          <w:szCs w:val="24"/>
          <w:bdr w:val="none" w:color="auto" w:sz="0" w:space="0"/>
          <w:lang w:val="en-US" w:eastAsia="zh-CN" w:bidi="ar"/>
        </w:rPr>
        <w:br w:type="textWrapping"/>
      </w:r>
      <w:r>
        <w:rPr>
          <w:rFonts w:ascii="宋体" w:hAnsi="宋体" w:eastAsia="宋体" w:cs="宋体"/>
          <w:i w:val="0"/>
          <w:iCs w:val="0"/>
          <w:caps w:val="0"/>
          <w:color w:val="565862"/>
          <w:spacing w:val="0"/>
          <w:kern w:val="0"/>
          <w:sz w:val="24"/>
          <w:szCs w:val="24"/>
          <w:bdr w:val="none" w:color="auto" w:sz="0" w:space="0"/>
          <w:lang w:val="en-US" w:eastAsia="zh-CN" w:bidi="ar"/>
        </w:rPr>
        <w:t>  感谢您对发展改革工作的关心和支持。</w:t>
      </w:r>
      <w:r>
        <w:rPr>
          <w:rFonts w:hint="default" w:ascii="Arial" w:hAnsi="Arial" w:eastAsia="Arial" w:cs="Arial"/>
          <w:i w:val="0"/>
          <w:iCs w:val="0"/>
          <w:caps w:val="0"/>
          <w:color w:val="565862"/>
          <w:spacing w:val="0"/>
          <w:kern w:val="0"/>
          <w:sz w:val="24"/>
          <w:szCs w:val="24"/>
          <w:bdr w:val="none" w:color="auto" w:sz="0" w:space="0"/>
          <w:lang w:val="en-US" w:eastAsia="zh-CN" w:bidi="ar"/>
        </w:rPr>
        <w:br w:type="textWrapping"/>
      </w:r>
      <w:r>
        <w:rPr>
          <w:rFonts w:ascii="宋体" w:hAnsi="宋体" w:eastAsia="宋体" w:cs="宋体"/>
          <w:i w:val="0"/>
          <w:iCs w:val="0"/>
          <w:caps w:val="0"/>
          <w:color w:val="565862"/>
          <w:spacing w:val="0"/>
          <w:kern w:val="0"/>
          <w:sz w:val="24"/>
          <w:szCs w:val="24"/>
          <w:bdr w:val="none" w:color="auto" w:sz="0" w:space="0"/>
          <w:lang w:val="en-US" w:eastAsia="zh-CN" w:bidi="ar"/>
        </w:rPr>
        <w:t>  欢迎登录我委门户网站（www.ndrc.gov.cn），了解国家经济和社会发展政策、经济建设和社会发展情况、经济体制改革方面的重要信息。</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ascii="Arial" w:hAnsi="Arial" w:eastAsia="Arial" w:cs="Arial"/>
          <w:i w:val="0"/>
          <w:iCs w:val="0"/>
          <w:caps w:val="0"/>
          <w:color w:val="565862"/>
          <w:spacing w:val="0"/>
          <w:sz w:val="24"/>
          <w:szCs w:val="24"/>
        </w:rPr>
      </w:pPr>
      <w:r>
        <w:rPr>
          <w:rFonts w:ascii="宋体" w:hAnsi="宋体" w:eastAsia="宋体" w:cs="宋体"/>
          <w:i w:val="0"/>
          <w:iCs w:val="0"/>
          <w:caps w:val="0"/>
          <w:color w:val="565862"/>
          <w:spacing w:val="0"/>
          <w:kern w:val="0"/>
          <w:sz w:val="24"/>
          <w:szCs w:val="24"/>
          <w:bdr w:val="none" w:color="auto" w:sz="0" w:space="0"/>
          <w:lang w:val="en-US" w:eastAsia="zh-CN" w:bidi="ar"/>
        </w:rPr>
        <w:t>国家发展改革委</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ascii="Arial" w:hAnsi="Arial" w:eastAsia="Arial" w:cs="Arial"/>
          <w:i w:val="0"/>
          <w:iCs w:val="0"/>
          <w:caps w:val="0"/>
          <w:color w:val="565862"/>
          <w:spacing w:val="0"/>
          <w:sz w:val="24"/>
          <w:szCs w:val="24"/>
        </w:rPr>
      </w:pPr>
      <w:r>
        <w:rPr>
          <w:rFonts w:ascii="宋体" w:hAnsi="宋体" w:eastAsia="宋体" w:cs="宋体"/>
          <w:i w:val="0"/>
          <w:iCs w:val="0"/>
          <w:caps w:val="0"/>
          <w:color w:val="565862"/>
          <w:spacing w:val="0"/>
          <w:kern w:val="0"/>
          <w:sz w:val="24"/>
          <w:szCs w:val="24"/>
          <w:bdr w:val="none" w:color="auto" w:sz="0" w:space="0"/>
          <w:lang w:val="en-US" w:eastAsia="zh-CN" w:bidi="ar"/>
        </w:rPr>
        <w:t>2020年10月22日</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89A3620"/>
    <w:rsid w:val="689A362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 w:type="character" w:styleId="4">
    <w:name w:val="Strong"/>
    <w:basedOn w:val="3"/>
    <w:qFormat/>
    <w:uiPriority w:val="0"/>
    <w:rPr>
      <w:b/>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2022-04-11T07:04:00Z</dcterms:created>
  <dc:creator>清风</dc:creator>
  <cp:lastModifiedBy>清风</cp:lastModifiedBy>
  <dcterms:modified xsi:type="dcterms:W3CDTF">2022-04-11T07:05:05Z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57E788D8C297426EB8EC1078BFB57983</vt:lpwstr>
  </property>
</Properties>
</file>