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bottom w:val="none" w:color="auto" w:sz="0" w:space="0"/>
        </w:pBdr>
        <w:shd w:val="clear" w:fill="FFFFFF"/>
        <w:spacing w:line="240" w:lineRule="auto"/>
        <w:ind w:left="1752" w:firstLine="0"/>
        <w:jc w:val="center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6"/>
          <w:szCs w:val="36"/>
          <w:shd w:val="clear" w:fill="FFFFFF"/>
          <w:lang w:val="en-US" w:eastAsia="zh-CN" w:bidi="ar"/>
        </w:rPr>
        <w:t>天津市城乡建设委员会 对天津市十三届政协五次会议第0124号提案的答复</w:t>
      </w:r>
    </w:p>
    <w:p>
      <w:pPr>
        <w:keepNext w:val="0"/>
        <w:keepLines w:val="0"/>
        <w:widowControl/>
        <w:suppressLineNumbers w:val="0"/>
        <w:shd w:val="clear" w:fill="F8F8F8"/>
        <w:spacing w:line="600" w:lineRule="atLeast"/>
        <w:ind w:lef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848484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848484"/>
          <w:spacing w:val="0"/>
          <w:kern w:val="0"/>
          <w:sz w:val="24"/>
          <w:szCs w:val="24"/>
          <w:shd w:val="clear" w:fill="F8F8F8"/>
          <w:lang w:val="en-US" w:eastAsia="zh-CN" w:bidi="ar"/>
        </w:rPr>
        <w:t>来源： 天津建设网/办公室 时间： 2017-12-08 23:27:00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center"/>
        <w:rPr>
          <w:rFonts w:ascii="微软雅黑" w:hAnsi="微软雅黑" w:eastAsia="微软雅黑" w:cs="微软雅黑"/>
        </w:rPr>
      </w:pPr>
      <w:r>
        <w:rPr>
          <w:rFonts w:ascii="方正小标宋简体" w:hAnsi="方正小标宋简体" w:eastAsia="方正小标宋简体" w:cs="方正小标宋简体"/>
          <w:i w:val="0"/>
          <w:iCs w:val="0"/>
          <w:caps w:val="0"/>
          <w:color w:val="3A3A3A"/>
          <w:spacing w:val="0"/>
          <w:kern w:val="0"/>
          <w:sz w:val="30"/>
          <w:szCs w:val="30"/>
          <w:bdr w:val="none" w:color="auto" w:sz="0" w:space="0"/>
          <w:shd w:val="clear" w:fill="FFFFFF"/>
          <w:lang w:val="en-US" w:eastAsia="zh-CN" w:bidi="ar"/>
        </w:rPr>
        <w:t>天津市城乡建设委员会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3A3A3A"/>
          <w:spacing w:val="-4"/>
          <w:kern w:val="0"/>
          <w:sz w:val="30"/>
          <w:szCs w:val="30"/>
          <w:bdr w:val="none" w:color="auto" w:sz="0" w:space="0"/>
          <w:shd w:val="clear" w:fill="FFFFFF"/>
          <w:lang w:val="en-US" w:eastAsia="zh-CN" w:bidi="ar"/>
        </w:rPr>
        <w:t>对天津市十三届政协五次会议第0124号提案的答复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left"/>
        <w:rPr>
          <w:rFonts w:hint="eastAsia" w:ascii="微软雅黑" w:hAnsi="微软雅黑" w:eastAsia="微软雅黑" w:cs="微软雅黑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中国民主同盟天津市委员会：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　　贵党派提出的“关于开展地下综合管廊规划建设的建</w:t>
      </w:r>
      <w:bookmarkStart w:id="0" w:name="_GoBack"/>
      <w:bookmarkEnd w:id="0"/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议”的提案，经会同市规划局研究答复如下：　 　</w:t>
      </w:r>
    </w:p>
    <w:p>
      <w:pPr>
        <w:keepNext w:val="0"/>
        <w:keepLines w:val="0"/>
        <w:widowControl/>
        <w:suppressLineNumbers w:val="0"/>
        <w:shd w:val="clear" w:fill="FFFFFF"/>
        <w:spacing w:before="525" w:beforeAutospacing="0" w:after="525" w:afterAutospacing="0" w:line="525" w:lineRule="atLeast"/>
        <w:ind w:lef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1"/>
          <w:szCs w:val="21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 </w:t>
      </w:r>
      <w:r>
        <w:rPr>
          <w:rFonts w:hint="default" w:ascii="仿宋_GB2312" w:hAnsi="微软雅黑" w:eastAsia="仿宋_GB2312" w:cs="仿宋_GB2312"/>
          <w:b/>
          <w:bCs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   一、关于加强综合管廊顶层设计方面的工作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    1．我委牵头编制了《天津市综合管廊建设专项规划》（2015-2030年），并于2016年4月获得了市政府的批复。全市规划综合管廊270公里，其中中心城区90公里，其他区180公里。规划编制过程中与区县总体规划和各功能区规划、相关行业规划进行了有效结合，综合分析天津市城市发展格局，统筹考虑城市建设开发强度、资源条件等相关因素，以成片新建或改造的发展区域为重点，在对综合管廊的区位建设条件进行评估的基础上，以综合管廊效益最大化和便于实施管理为原则，划定中心城区、天津生态城、于家堡等十三片综合管廊主要建设区域。中心城区依据中心城区控制性详细规划，并结合给水、排水、电力空间、燃气、供热、再生水工程、地下空间等专项规划的主干管网需求，优先考虑人流聚集，交通繁忙，有高压走廊入地需求，各类干线敷设和增容需求大的路段，重要公共空间和节点，按照一举多得的原则，综合考虑海绵城市建设、地下空间统筹开发、轨道交通和地下通道建设等因素，采用多因子叠加分析的方法，研究确定规划区综合管廊建设的规划线路和走向，提出“十区，五连，多点”的总体布局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    2. 为做好我市综合管廊规划建设工作，市建委编制了《天津市地下综合管廊规划建设工作方案》，于2016年4月报请市政府同意，印发了相关单位，指导综合管廊规划建设工作的有序推动。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    3．在《城市综合管廊工程技术规范》（GB50838-2015）的基础上，结合我市基础设施建设特点，编制完成《天津市综合管廊工程技术规范》，为我市管廊建设提供了技术标准。同时已建成的海河过河隧道、于家堡综合管廊一期工程等工程，为大规模开展综合管廊建设积累了宝贵经验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    </w:t>
      </w:r>
      <w:r>
        <w:rPr>
          <w:rFonts w:hint="default" w:ascii="仿宋_GB2312" w:hAnsi="微软雅黑" w:eastAsia="仿宋_GB2312" w:cs="仿宋_GB2312"/>
          <w:b/>
          <w:bCs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二、关于积极开展各项基础工作方面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    2016年7月市建委会同相关单位对珠海横琴开发区、上海市世博园综合管廊已建成运营的项目进行实地考察学习。借鉴其他兄弟省市的经验，结合我市实际情况，在建设管理方面提出坚持政府主导、政策支持、市场化运作原则充分发挥市场机制作用，鼓励社会资本广泛参与综合管廊投资和运营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为了鼓励综合管廊建设，相关部门联合出台了《天津市城市地下综合管廊建设管理暂行办法》、《天津市市政公用交通领域推广政府和社会资本合作（PPP）模式实施方案》、《天津市地下综合管廊及海绵城市专项资金管理暂行办法》等一系列管理规定。明确了综合管廊建设管理工作机制、投资与运营、维护管理等方面内容。目前综合管廊建设、管线入廊、费用分摊、运营模式等具体相关政策，正在研究当中。通过“政府扶持、企业运作”的模式，实行综合管廊企业化运营管理，逐步推动综合管廊建设与管理的多元化和市场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    </w:t>
      </w:r>
      <w:r>
        <w:rPr>
          <w:rFonts w:hint="default" w:ascii="仿宋_GB2312" w:hAnsi="微软雅黑" w:eastAsia="仿宋_GB2312" w:cs="仿宋_GB2312"/>
          <w:b/>
          <w:bCs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三、关于组织机构问题。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br w:type="textWrapping"/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shd w:val="clear" w:fill="FFFFFF"/>
          <w:lang w:val="en-US" w:eastAsia="zh-CN" w:bidi="ar"/>
        </w:rPr>
        <w:t>    市委、市政府的高度重视综合管廊建设工作。2015年2月份成立了我市综合管廊领导小组，主管副市长任组长，主管管委办局负责人任副组长，14个委局共同参与的天津市地下综合管廊工作领导小组，成员单位包括主管单位及电力、给水、排水、热力、电信、燃气等入廊产权单位，全力推动综合管廊建设工作。2015年10月，天津市人民政府发布了《关于进一步加强城市地下管线建设管理的实施意见的通知》，2016年4月，发布了《市建委关于印发天津市地下综合管廊规划建设工作方案的通知》，以上两个文件明确了综合管廊建设管理的总体目标及工作部署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   感谢您对天津城市交通和基础设施建设工作的关心和支持，希望您继续关注我们今后的工作。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                                                                                2017年5月5日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lef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left"/>
        <w:rPr>
          <w:rFonts w:hint="eastAsia" w:ascii="微软雅黑" w:hAnsi="微软雅黑" w:eastAsia="微软雅黑" w:cs="微软雅黑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A3A3A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（联系单位及电话：天津市城乡建设委员会，022-28468011）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 w:line="525" w:lineRule="atLeast"/>
        <w:ind w:left="0" w:right="0"/>
        <w:jc w:val="left"/>
        <w:rPr>
          <w:rFonts w:hint="eastAsia" w:ascii="微软雅黑" w:hAnsi="微软雅黑" w:eastAsia="微软雅黑" w:cs="微软雅黑"/>
        </w:rPr>
      </w:pPr>
    </w:p>
    <w:p>
      <w:pPr>
        <w:keepNext w:val="0"/>
        <w:keepLines w:val="0"/>
        <w:widowControl/>
        <w:suppressLineNumbers w:val="0"/>
        <w:spacing w:before="525" w:beforeAutospacing="0" w:after="525" w:afterAutospacing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kern w:val="0"/>
          <w:sz w:val="21"/>
          <w:szCs w:val="21"/>
          <w:shd w:val="clear" w:fill="FFFFFF"/>
          <w:lang w:val="en-US" w:eastAsia="zh-CN" w:bidi="ar"/>
        </w:rPr>
        <w:t>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1D7641"/>
    <w:rsid w:val="551D7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2022-04-12T03:09:00Z</dcterms:created>
  <dc:creator>清风</dc:creator>
  <cp:lastModifiedBy>清风</cp:lastModifiedBy>
  <dcterms:modified xsi:type="dcterms:W3CDTF">2022-04-12T03:10:24Z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F17AB400A0024EE1A1BE0E030DE8BC0D</vt:lpwstr>
  </property>
</Properties>
</file>