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住房和城乡建设部办公厅关于印发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《城市地下综合管廊建设规划技术导则》的通知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0"/>
          <w:szCs w:val="0"/>
          <w:shd w:val="clear" w:fill="F7FAFF"/>
          <w:lang w:val="en-US" w:eastAsia="zh-CN" w:bidi="ar"/>
        </w:rPr>
        <w:t> </w:t>
      </w:r>
    </w:p>
    <w:p>
      <w:pPr>
        <w:jc w:val="center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建办城函〔2019〕363号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各省、自治区住房和城乡建设厅，北京市城市管理委员会、规划和自然资源委员会，天津市、重庆市住房和城乡建设委员会，上海市住房和城乡建设管理委员会，新疆生产建设兵团住房和城乡建设局：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为贯彻落实党的十九大提出的高质量发展要求，指导各地进一步提高城市地下综合管廊建设规划编制水平，因地制宜推进城市地下综合管廊建设，我部组织编制了《城市地下综合管廊建设规划技术导则》。现印发给你们，请结合实际参照执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本导则自印发之日起施行。《城市地下综合管廊工程规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划编制指引》（建城〔2015〕70号）同时废止。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 中华人民共和国住房和城乡建设部办公厅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2019年6月13日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（此件主动公开）</w:t>
      </w:r>
    </w:p>
    <w:p/>
    <w:sectPr>
      <w:pgSz w:w="11906" w:h="16838"/>
      <w:pgMar w:top="1247" w:right="1800" w:bottom="1134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3C2102"/>
    <w:rsid w:val="2D3C2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2022-04-11T03:41:00Z</dcterms:created>
  <dc:creator>清风</dc:creator>
  <cp:lastModifiedBy>清风</cp:lastModifiedBy>
  <dcterms:modified xsi:type="dcterms:W3CDTF">2022-04-11T03:48:36Z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D546B89B661645A1A457BC2147DAE6AC</vt:lpwstr>
  </property>
</Properties>
</file>