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450" w:afterAutospacing="0" w:line="525" w:lineRule="atLeast"/>
        <w:ind w:left="0" w:right="0"/>
        <w:jc w:val="center"/>
        <w:rPr>
          <w:rFonts w:hint="eastAsia" w:ascii="微软雅黑" w:hAnsi="微软雅黑" w:eastAsia="微软雅黑" w:cs="微软雅黑"/>
          <w:b/>
          <w:bCs/>
          <w:color w:val="000000"/>
          <w:sz w:val="39"/>
          <w:szCs w:val="39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sz w:val="39"/>
          <w:szCs w:val="39"/>
          <w:bdr w:val="none" w:color="auto" w:sz="0" w:space="0"/>
          <w:shd w:val="clear" w:fill="FFFFFF"/>
        </w:rPr>
        <w:t>住房和城乡建设部办公厅关于印发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sz w:val="39"/>
          <w:szCs w:val="39"/>
          <w:bdr w:val="none" w:color="auto" w:sz="0" w:space="0"/>
          <w:shd w:val="clear" w:fill="FFFFFF"/>
        </w:rPr>
        <w:t>《城市地下综合管廊建设规划技术导则》的通知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0"/>
          <w:szCs w:val="0"/>
          <w:shd w:val="clear" w:fill="F7FAFF"/>
          <w:lang w:val="en-US" w:eastAsia="zh-CN" w:bidi="ar"/>
        </w:rPr>
        <w:t> </w:t>
      </w:r>
    </w:p>
    <w:p>
      <w:pPr>
        <w:jc w:val="center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t>建办城函〔2019〕363号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526" w:beforeAutospacing="0" w:after="0" w:afterAutospacing="0" w:line="450" w:lineRule="atLeast"/>
        <w:ind w:left="0" w:right="0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各省、自治区住房和城乡建设厅，北京市城市管理委员会、规划和自然资源委员会，天津市、重庆市住房和城乡建设委员会，上海市住房和城乡建设管理委员会，新疆生产建设兵团住房和城乡建设局：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526" w:beforeAutospacing="0" w:after="0" w:afterAutospacing="0" w:line="450" w:lineRule="atLeast"/>
        <w:ind w:left="0" w:right="0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　　为贯彻落实党的十九大提出的高质量发展要求，指导各地进一步提高城市地下综合管廊建设规划编制水平，因地制宜推进城市地下综合管廊建设，我部组织编制了《城市地下综合管廊建设规划技术导则》。现印发给你们，请结合实际参照执行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526" w:beforeAutospacing="0" w:after="0" w:afterAutospacing="0" w:line="450" w:lineRule="atLeast"/>
        <w:ind w:left="0" w:right="0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　　本导则自印发之日起施行。《城市地下综合管廊工程规</w:t>
      </w:r>
      <w:bookmarkStart w:id="0" w:name="_GoBack"/>
      <w:bookmarkEnd w:id="0"/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划编制指引》（建城〔2015〕70号）同时废止。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526" w:beforeAutospacing="0" w:after="0" w:afterAutospacing="0" w:line="450" w:lineRule="atLeast"/>
        <w:ind w:left="0" w:right="0"/>
        <w:jc w:val="right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　　　　　　　　　　　　　　　　　　　　　　　　　　　　　　　　　　 中华人民共和国住房和城乡建设部办公厅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　　　　　　　　　　　　　　　　　　　　　　　　　2019年6月13日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526" w:beforeAutospacing="0" w:after="0" w:afterAutospacing="0" w:line="450" w:lineRule="atLeast"/>
        <w:ind w:left="0" w:right="0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　　（此件主动公开）</w:t>
      </w:r>
    </w:p>
    <w:p/>
    <w:sectPr>
      <w:pgSz w:w="11906" w:h="16838"/>
      <w:pgMar w:top="1247" w:right="1800" w:bottom="1134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socialshar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D3C2102"/>
    <w:rsid w:val="2D3C2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7</TotalTime>
  <ScaleCrop>false</ScaleCrop>
  <LinksUpToDate>false</LinksUpToDate>
  <CharactersWithSpaces>0</CharactersWithSpaces>
  <Application>WPS Office_11.1.0.11566_F1E327BC-269C-435d-A152-05C5408002CA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2022-04-11T03:41:00Z</dcterms:created>
  <dc:creator>清风</dc:creator>
  <cp:lastModifiedBy>清风</cp:lastModifiedBy>
  <dcterms:modified xsi:type="dcterms:W3CDTF">2022-04-11T03:48:36Z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2052-11.1.0.11566</vt:lpwstr>
  </property>
  <property fmtid="{D5CDD505-2E9C-101B-9397-08002B2CF9AE}" pid="3" name="ICV">
    <vt:lpwstr>D546B89B661645A1A457BC2147DAE6AC</vt:lpwstr>
  </property>
</Properties>
</file>