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W w:w="4750" w:type="pct"/>
        <w:jc w:val="center"/>
        <w:tblCellSpacing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830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blCellSpacing w:w="0" w:type="dxa"/>
          <w:jc w:val="center"/>
        </w:trPr>
        <w:tc>
          <w:tcPr>
            <w:tcW w:w="0" w:type="auto"/>
            <w:shd w:val="clear" w:color="auto" w:fill="FFFFFF"/>
            <w:vAlign w:val="center"/>
          </w:tcPr>
          <w:p>
            <w:pPr>
              <w:pStyle w:val="2"/>
              <w:keepNext w:val="0"/>
              <w:keepLines w:val="0"/>
              <w:widowControl/>
              <w:suppressLineNumbers w:val="0"/>
              <w:spacing w:line="432" w:lineRule="atLeast"/>
              <w:jc w:val="center"/>
            </w:pPr>
            <w:r>
              <w:rPr>
                <w:rStyle w:val="5"/>
                <w:rFonts w:hint="eastAsia" w:ascii="宋体" w:hAnsi="宋体" w:eastAsia="宋体" w:cs="宋体"/>
                <w:caps w:val="0"/>
                <w:color w:val="000000"/>
                <w:spacing w:val="0"/>
                <w:sz w:val="36"/>
                <w:szCs w:val="36"/>
                <w:u w:val="none"/>
              </w:rPr>
              <w:t>国务院关于印发“宽带中国”战略及</w:t>
            </w:r>
            <w:r>
              <w:rPr>
                <w:rStyle w:val="5"/>
                <w:rFonts w:hint="eastAsia" w:ascii="宋体" w:hAnsi="宋体" w:eastAsia="宋体" w:cs="宋体"/>
                <w:caps w:val="0"/>
                <w:color w:val="000000"/>
                <w:spacing w:val="0"/>
                <w:sz w:val="36"/>
                <w:szCs w:val="36"/>
                <w:u w:val="none"/>
              </w:rPr>
              <w:br w:type="textWrapping"/>
            </w:r>
            <w:r>
              <w:rPr>
                <w:rStyle w:val="5"/>
                <w:rFonts w:hint="eastAsia" w:ascii="宋体" w:hAnsi="宋体" w:eastAsia="宋体" w:cs="宋体"/>
                <w:caps w:val="0"/>
                <w:color w:val="000000"/>
                <w:spacing w:val="0"/>
                <w:sz w:val="36"/>
                <w:szCs w:val="36"/>
                <w:u w:val="none"/>
              </w:rPr>
              <w:t>实 施 方 案 的 通 知</w:t>
            </w:r>
            <w:r>
              <w:rPr>
                <w:rStyle w:val="5"/>
                <w:rFonts w:hint="eastAsia" w:ascii="宋体" w:hAnsi="宋体" w:eastAsia="宋体" w:cs="宋体"/>
                <w:caps w:val="0"/>
                <w:color w:val="000000"/>
                <w:spacing w:val="0"/>
                <w:sz w:val="36"/>
                <w:szCs w:val="36"/>
                <w:u w:val="none"/>
              </w:rPr>
              <w:br w:type="textWrapping"/>
            </w:r>
            <w:r>
              <w:rPr>
                <w:rFonts w:ascii="楷体_GB2312" w:hAnsi="宋体" w:eastAsia="楷体_GB2312" w:cs="楷体_GB2312"/>
                <w:caps w:val="0"/>
                <w:color w:val="000000"/>
                <w:spacing w:val="0"/>
                <w:sz w:val="24"/>
                <w:szCs w:val="24"/>
                <w:u w:val="none"/>
              </w:rPr>
              <w:t>国发〔2013〕31号</w:t>
            </w:r>
          </w:p>
          <w:p>
            <w:pPr>
              <w:pStyle w:val="2"/>
              <w:keepNext w:val="0"/>
              <w:keepLines w:val="0"/>
              <w:widowControl/>
              <w:suppressLineNumbers w:val="0"/>
              <w:spacing w:line="432" w:lineRule="atLeast"/>
            </w:pPr>
            <w:r>
              <w:rPr>
                <w:rFonts w:hint="eastAsia" w:ascii="宋体" w:hAnsi="宋体" w:eastAsia="宋体" w:cs="宋体"/>
                <w:caps w:val="0"/>
                <w:color w:val="000000"/>
                <w:spacing w:val="0"/>
                <w:sz w:val="24"/>
                <w:szCs w:val="24"/>
                <w:u w:val="none"/>
              </w:rPr>
              <w:t>各省、自治区、直辖市人民政府，国务院各部委、各直属机构：</w:t>
            </w:r>
            <w:r>
              <w:rPr>
                <w:rFonts w:hint="eastAsia" w:ascii="宋体" w:hAnsi="宋体" w:eastAsia="宋体" w:cs="宋体"/>
                <w:caps w:val="0"/>
                <w:color w:val="000000"/>
                <w:spacing w:val="0"/>
                <w:sz w:val="24"/>
                <w:szCs w:val="24"/>
                <w:u w:val="none"/>
              </w:rPr>
              <w:br w:type="textWrapping"/>
            </w:r>
            <w:r>
              <w:rPr>
                <w:rFonts w:hint="eastAsia" w:ascii="宋体" w:hAnsi="宋体" w:eastAsia="宋体" w:cs="宋体"/>
                <w:caps w:val="0"/>
                <w:color w:val="000000"/>
                <w:spacing w:val="0"/>
                <w:sz w:val="24"/>
                <w:szCs w:val="24"/>
                <w:u w:val="none"/>
              </w:rPr>
              <w:t>     现将《“宽带中国”战略及实施方案》印发给你们，请认真贯彻执行。</w:t>
            </w:r>
          </w:p>
          <w:p>
            <w:pPr>
              <w:pStyle w:val="2"/>
              <w:keepNext w:val="0"/>
              <w:keepLines w:val="0"/>
              <w:widowControl/>
              <w:suppressLineNumbers w:val="0"/>
              <w:spacing w:line="432" w:lineRule="atLeast"/>
              <w:jc w:val="right"/>
            </w:pPr>
            <w:r>
              <w:rPr>
                <w:rFonts w:hint="eastAsia" w:ascii="宋体" w:hAnsi="宋体" w:eastAsia="宋体" w:cs="宋体"/>
                <w:caps w:val="0"/>
                <w:color w:val="000000"/>
                <w:spacing w:val="0"/>
                <w:sz w:val="24"/>
                <w:szCs w:val="24"/>
                <w:u w:val="none"/>
              </w:rPr>
              <w:t>                                                      国务院</w:t>
            </w:r>
            <w:bookmarkStart w:id="0" w:name="_GoBack"/>
            <w:bookmarkEnd w:id="0"/>
            <w:r>
              <w:rPr>
                <w:rFonts w:hint="eastAsia" w:ascii="宋体" w:hAnsi="宋体" w:eastAsia="宋体" w:cs="宋体"/>
                <w:caps w:val="0"/>
                <w:color w:val="000000"/>
                <w:spacing w:val="0"/>
                <w:sz w:val="24"/>
                <w:szCs w:val="24"/>
                <w:u w:val="none"/>
              </w:rPr>
              <w:br w:type="textWrapping"/>
            </w:r>
            <w:r>
              <w:rPr>
                <w:rFonts w:hint="eastAsia" w:ascii="宋体" w:hAnsi="宋体" w:eastAsia="宋体" w:cs="宋体"/>
                <w:caps w:val="0"/>
                <w:color w:val="000000"/>
                <w:spacing w:val="0"/>
                <w:sz w:val="24"/>
                <w:szCs w:val="24"/>
                <w:u w:val="none"/>
              </w:rPr>
              <w:t>                                                   2013年8月1日</w:t>
            </w:r>
            <w:r>
              <w:rPr>
                <w:rFonts w:hint="eastAsia" w:ascii="宋体" w:hAnsi="宋体" w:eastAsia="宋体" w:cs="宋体"/>
                <w:caps w:val="0"/>
                <w:color w:val="000000"/>
                <w:spacing w:val="0"/>
                <w:sz w:val="24"/>
                <w:szCs w:val="24"/>
                <w:u w:val="none"/>
              </w:rPr>
              <w:br w:type="textWrapping"/>
            </w:r>
            <w:r>
              <w:rPr>
                <w:rFonts w:hint="eastAsia" w:ascii="宋体" w:hAnsi="宋体" w:eastAsia="宋体" w:cs="宋体"/>
                <w:caps w:val="0"/>
                <w:color w:val="000000"/>
                <w:spacing w:val="0"/>
                <w:sz w:val="24"/>
                <w:szCs w:val="24"/>
                <w:u w:val="none"/>
              </w:rPr>
              <w:t>    （此件公开发布）</w:t>
            </w:r>
          </w:p>
          <w:p>
            <w:pPr>
              <w:pStyle w:val="2"/>
              <w:keepNext w:val="0"/>
              <w:keepLines w:val="0"/>
              <w:widowControl/>
              <w:suppressLineNumbers w:val="0"/>
              <w:spacing w:line="432" w:lineRule="atLeast"/>
              <w:jc w:val="center"/>
            </w:pPr>
            <w:r>
              <w:rPr>
                <w:rStyle w:val="5"/>
                <w:rFonts w:hint="eastAsia" w:ascii="宋体" w:hAnsi="宋体" w:eastAsia="宋体" w:cs="宋体"/>
                <w:caps w:val="0"/>
                <w:color w:val="000000"/>
                <w:spacing w:val="0"/>
                <w:sz w:val="24"/>
                <w:szCs w:val="24"/>
                <w:u w:val="none"/>
              </w:rPr>
              <w:t>“宽带中国”战略及实施方案</w:t>
            </w:r>
          </w:p>
          <w:p>
            <w:pPr>
              <w:pStyle w:val="2"/>
              <w:keepNext w:val="0"/>
              <w:keepLines w:val="0"/>
              <w:widowControl/>
              <w:suppressLineNumbers w:val="0"/>
              <w:spacing w:line="432" w:lineRule="atLeast"/>
            </w:pPr>
            <w:r>
              <w:rPr>
                <w:rFonts w:hint="eastAsia" w:ascii="宋体" w:hAnsi="宋体" w:eastAsia="宋体" w:cs="宋体"/>
                <w:caps w:val="0"/>
                <w:color w:val="000000"/>
                <w:spacing w:val="0"/>
                <w:sz w:val="24"/>
                <w:szCs w:val="24"/>
                <w:u w:val="none"/>
              </w:rPr>
              <w:t>    宽带网络是新时期我国经济社会发展的战略性公共基础设施，发展宽带网络对拉动有效投资和促进信息消费、推进发展方式转变和小康社会建设具有重要支撑作用。从全球范围看，宽带网络正推动新一轮信息化发展浪潮，众多国家纷纷将发展宽带网络作为战略部署的优先行动领域，作为抢占新时期国际经济、科技和产业竞争制高点的重要举措。近年来，我国宽带网络覆盖范围不断扩大，传输和接入能力不断增强，宽带技术创新取得显著进展，完整产业链初步形成，应用服务水平不断提升，电子商务、软件外包、云计算和物联网等新兴业态蓬勃发展，网络信息安全保障逐步加强，但我国宽带网络仍然存在公共基础设施定位不明确、区域和城乡发展不平衡、应用服务不够丰富、技术原创能力不足、发展环境不完善等问题，亟需得到解决。</w:t>
            </w:r>
            <w:r>
              <w:rPr>
                <w:rFonts w:hint="eastAsia" w:ascii="宋体" w:hAnsi="宋体" w:eastAsia="宋体" w:cs="宋体"/>
                <w:caps w:val="0"/>
                <w:color w:val="000000"/>
                <w:spacing w:val="0"/>
                <w:sz w:val="24"/>
                <w:szCs w:val="24"/>
                <w:u w:val="none"/>
              </w:rPr>
              <w:br w:type="textWrapping"/>
            </w:r>
            <w:r>
              <w:rPr>
                <w:rFonts w:hint="eastAsia" w:ascii="宋体" w:hAnsi="宋体" w:eastAsia="宋体" w:cs="宋体"/>
                <w:caps w:val="0"/>
                <w:color w:val="000000"/>
                <w:spacing w:val="0"/>
                <w:sz w:val="24"/>
                <w:szCs w:val="24"/>
                <w:u w:val="none"/>
              </w:rPr>
              <w:t>    根据《2006-2020年国家信息化发展战略》、《国务院关于大力推进信息化发展和切实保障信息安全的若干意见》（国发〔2012〕23号）和《“十二五”国家战略性新兴产业发展规划》的总体要求，特制定《“宽带中国”战略及实施方案》，旨在加强战略引导和系统部署，推动我国宽带基础设施快速健康发展。</w:t>
            </w:r>
            <w:r>
              <w:rPr>
                <w:rFonts w:hint="eastAsia" w:ascii="宋体" w:hAnsi="宋体" w:eastAsia="宋体" w:cs="宋体"/>
                <w:caps w:val="0"/>
                <w:color w:val="000000"/>
                <w:spacing w:val="0"/>
                <w:sz w:val="24"/>
                <w:szCs w:val="24"/>
                <w:u w:val="none"/>
              </w:rPr>
              <w:br w:type="textWrapping"/>
            </w:r>
            <w:r>
              <w:rPr>
                <w:rFonts w:hint="eastAsia" w:ascii="宋体" w:hAnsi="宋体" w:eastAsia="宋体" w:cs="宋体"/>
                <w:caps w:val="0"/>
                <w:color w:val="000000"/>
                <w:spacing w:val="0"/>
                <w:sz w:val="24"/>
                <w:szCs w:val="24"/>
                <w:u w:val="none"/>
              </w:rPr>
              <w:t>   </w:t>
            </w:r>
            <w:r>
              <w:rPr>
                <w:rStyle w:val="5"/>
                <w:rFonts w:hint="eastAsia" w:ascii="宋体" w:hAnsi="宋体" w:eastAsia="宋体" w:cs="宋体"/>
                <w:caps w:val="0"/>
                <w:color w:val="000000"/>
                <w:spacing w:val="0"/>
                <w:sz w:val="24"/>
                <w:szCs w:val="24"/>
                <w:u w:val="none"/>
              </w:rPr>
              <w:t> 一、指导思想、基本原则和发展目标</w:t>
            </w:r>
            <w:r>
              <w:rPr>
                <w:rStyle w:val="5"/>
                <w:rFonts w:hint="eastAsia" w:ascii="宋体" w:hAnsi="宋体" w:eastAsia="宋体" w:cs="宋体"/>
                <w:caps w:val="0"/>
                <w:color w:val="000000"/>
                <w:spacing w:val="0"/>
                <w:sz w:val="24"/>
                <w:szCs w:val="24"/>
                <w:u w:val="none"/>
              </w:rPr>
              <w:br w:type="textWrapping"/>
            </w:r>
            <w:r>
              <w:rPr>
                <w:rFonts w:hint="eastAsia" w:ascii="宋体" w:hAnsi="宋体" w:eastAsia="宋体" w:cs="宋体"/>
                <w:caps w:val="0"/>
                <w:color w:val="000000"/>
                <w:spacing w:val="0"/>
                <w:sz w:val="24"/>
                <w:szCs w:val="24"/>
                <w:u w:val="none"/>
              </w:rPr>
              <w:t>    （一）指导思想。</w:t>
            </w:r>
            <w:r>
              <w:rPr>
                <w:rFonts w:hint="eastAsia" w:ascii="宋体" w:hAnsi="宋体" w:eastAsia="宋体" w:cs="宋体"/>
                <w:caps w:val="0"/>
                <w:color w:val="000000"/>
                <w:spacing w:val="0"/>
                <w:sz w:val="24"/>
                <w:szCs w:val="24"/>
                <w:u w:val="none"/>
              </w:rPr>
              <w:br w:type="textWrapping"/>
            </w:r>
            <w:r>
              <w:rPr>
                <w:rFonts w:hint="eastAsia" w:ascii="宋体" w:hAnsi="宋体" w:eastAsia="宋体" w:cs="宋体"/>
                <w:caps w:val="0"/>
                <w:color w:val="000000"/>
                <w:spacing w:val="0"/>
                <w:sz w:val="24"/>
                <w:szCs w:val="24"/>
                <w:u w:val="none"/>
              </w:rPr>
              <w:t>    以邓小平理论、“三个代表”重要思想、科学发展观为指导，围绕加快转变经济发展方式和全面建成小康社会的总体要求，将宽带网络作为国家战略性公共基础设施，加强顶层设计和规划引导，统筹关键核心技术研发、标准制定、信息安全和应急通信保障体系建设，促进网络建设、应用普及、服务创新和产业支撑的协同，综合利用有线、无线技术推动电信网、广播电视网和互联网融合发展，加快构建宽带、融合、安全、泛在的下一代国家信息基础设施，全面支撑经济发展和服务社会民生。</w:t>
            </w:r>
            <w:r>
              <w:rPr>
                <w:rFonts w:hint="eastAsia" w:ascii="宋体" w:hAnsi="宋体" w:eastAsia="宋体" w:cs="宋体"/>
                <w:caps w:val="0"/>
                <w:color w:val="000000"/>
                <w:spacing w:val="0"/>
                <w:sz w:val="24"/>
                <w:szCs w:val="24"/>
                <w:u w:val="none"/>
              </w:rPr>
              <w:br w:type="textWrapping"/>
            </w:r>
            <w:r>
              <w:rPr>
                <w:rFonts w:hint="eastAsia" w:ascii="宋体" w:hAnsi="宋体" w:eastAsia="宋体" w:cs="宋体"/>
                <w:caps w:val="0"/>
                <w:color w:val="000000"/>
                <w:spacing w:val="0"/>
                <w:sz w:val="24"/>
                <w:szCs w:val="24"/>
                <w:u w:val="none"/>
              </w:rPr>
              <w:t>    （二）基本原则。</w:t>
            </w:r>
            <w:r>
              <w:rPr>
                <w:rFonts w:hint="eastAsia" w:ascii="宋体" w:hAnsi="宋体" w:eastAsia="宋体" w:cs="宋体"/>
                <w:caps w:val="0"/>
                <w:color w:val="000000"/>
                <w:spacing w:val="0"/>
                <w:sz w:val="24"/>
                <w:szCs w:val="24"/>
                <w:u w:val="none"/>
              </w:rPr>
              <w:br w:type="textWrapping"/>
            </w:r>
            <w:r>
              <w:rPr>
                <w:rFonts w:hint="eastAsia" w:ascii="宋体" w:hAnsi="宋体" w:eastAsia="宋体" w:cs="宋体"/>
                <w:caps w:val="0"/>
                <w:color w:val="000000"/>
                <w:spacing w:val="0"/>
                <w:sz w:val="24"/>
                <w:szCs w:val="24"/>
                <w:u w:val="none"/>
              </w:rPr>
              <w:t>    坚持政府引导与市场调节相结合。坚持市场配置资源的基础性作用，发挥政府战略引领作用，完善政策措施。系统研究解决网络建设、内容服务、应用创新、产业发展等环节体制机制问题，营造良好环境，促进市场公平竞争和资源有效利用。</w:t>
            </w:r>
            <w:r>
              <w:rPr>
                <w:rFonts w:hint="eastAsia" w:ascii="宋体" w:hAnsi="宋体" w:eastAsia="宋体" w:cs="宋体"/>
                <w:caps w:val="0"/>
                <w:color w:val="000000"/>
                <w:spacing w:val="0"/>
                <w:sz w:val="24"/>
                <w:szCs w:val="24"/>
                <w:u w:val="none"/>
              </w:rPr>
              <w:br w:type="textWrapping"/>
            </w:r>
            <w:r>
              <w:rPr>
                <w:rFonts w:hint="eastAsia" w:ascii="宋体" w:hAnsi="宋体" w:eastAsia="宋体" w:cs="宋体"/>
                <w:caps w:val="0"/>
                <w:color w:val="000000"/>
                <w:spacing w:val="0"/>
                <w:sz w:val="24"/>
                <w:szCs w:val="24"/>
                <w:u w:val="none"/>
              </w:rPr>
              <w:t>    坚持统筹规划与分步推进相结合。从战略性、全局性和系统性出发，适度超前，明确宽带发展的总体目标、路线图和时间表。遵循客观发展规律，因地制宜，统筹城乡和区域宽带协调发展，统筹军民宽带网络融合发展。</w:t>
            </w:r>
            <w:r>
              <w:rPr>
                <w:rFonts w:hint="eastAsia" w:ascii="宋体" w:hAnsi="宋体" w:eastAsia="宋体" w:cs="宋体"/>
                <w:caps w:val="0"/>
                <w:color w:val="000000"/>
                <w:spacing w:val="0"/>
                <w:sz w:val="24"/>
                <w:szCs w:val="24"/>
                <w:u w:val="none"/>
              </w:rPr>
              <w:br w:type="textWrapping"/>
            </w:r>
            <w:r>
              <w:rPr>
                <w:rFonts w:hint="eastAsia" w:ascii="宋体" w:hAnsi="宋体" w:eastAsia="宋体" w:cs="宋体"/>
                <w:caps w:val="0"/>
                <w:color w:val="000000"/>
                <w:spacing w:val="0"/>
                <w:sz w:val="24"/>
                <w:szCs w:val="24"/>
                <w:u w:val="none"/>
              </w:rPr>
              <w:t>    坚持网络建设与应用服务相结合。统筹有线、无线技术手段协同发展，协调推进宽带接入网、骨干网和国际出入口能力建设，形成适度超前的宽带网络发展格局。促进网络能力提升与应用服务创新相结合，深化宽带在各行业、各领域的集成应用，推动信息消费，培育新服务、新市场、新业态。</w:t>
            </w:r>
            <w:r>
              <w:rPr>
                <w:rFonts w:hint="eastAsia" w:ascii="宋体" w:hAnsi="宋体" w:eastAsia="宋体" w:cs="宋体"/>
                <w:caps w:val="0"/>
                <w:color w:val="000000"/>
                <w:spacing w:val="0"/>
                <w:sz w:val="24"/>
                <w:szCs w:val="24"/>
                <w:u w:val="none"/>
              </w:rPr>
              <w:br w:type="textWrapping"/>
            </w:r>
            <w:r>
              <w:rPr>
                <w:rFonts w:hint="eastAsia" w:ascii="宋体" w:hAnsi="宋体" w:eastAsia="宋体" w:cs="宋体"/>
                <w:caps w:val="0"/>
                <w:color w:val="000000"/>
                <w:spacing w:val="0"/>
                <w:sz w:val="24"/>
                <w:szCs w:val="24"/>
                <w:u w:val="none"/>
              </w:rPr>
              <w:t>    坚持网络升级与产业创新相结合。加强宽带网络发展与产业支撑能力建设的协同，加快建立以企业为主体、市场为导向、产学研用紧密结合的技术创新体系，促进国内外优势资源的整合利用，提升自主创新能力，实现产业链上下游协调发展，提高产业配套能力。</w:t>
            </w:r>
            <w:r>
              <w:rPr>
                <w:rFonts w:hint="eastAsia" w:ascii="宋体" w:hAnsi="宋体" w:eastAsia="宋体" w:cs="宋体"/>
                <w:caps w:val="0"/>
                <w:color w:val="000000"/>
                <w:spacing w:val="0"/>
                <w:sz w:val="24"/>
                <w:szCs w:val="24"/>
                <w:u w:val="none"/>
              </w:rPr>
              <w:br w:type="textWrapping"/>
            </w:r>
            <w:r>
              <w:rPr>
                <w:rFonts w:hint="eastAsia" w:ascii="宋体" w:hAnsi="宋体" w:eastAsia="宋体" w:cs="宋体"/>
                <w:caps w:val="0"/>
                <w:color w:val="000000"/>
                <w:spacing w:val="0"/>
                <w:sz w:val="24"/>
                <w:szCs w:val="24"/>
                <w:u w:val="none"/>
              </w:rPr>
              <w:t>    坚持宽带普及与保障安全相结合。强化安全意识，同步推进网络信息安全和应急通信保障能力建设，不断增强基础网络、核心系统、关键资源的安全掌控能力以及应急服务能力，实现网络安全可控、业务安全可管、应急保障可靠。</w:t>
            </w:r>
            <w:r>
              <w:rPr>
                <w:rFonts w:hint="eastAsia" w:ascii="宋体" w:hAnsi="宋体" w:eastAsia="宋体" w:cs="宋体"/>
                <w:caps w:val="0"/>
                <w:color w:val="000000"/>
                <w:spacing w:val="0"/>
                <w:sz w:val="24"/>
                <w:szCs w:val="24"/>
                <w:u w:val="none"/>
              </w:rPr>
              <w:br w:type="textWrapping"/>
            </w:r>
            <w:r>
              <w:rPr>
                <w:rFonts w:hint="eastAsia" w:ascii="宋体" w:hAnsi="宋体" w:eastAsia="宋体" w:cs="宋体"/>
                <w:caps w:val="0"/>
                <w:color w:val="000000"/>
                <w:spacing w:val="0"/>
                <w:sz w:val="24"/>
                <w:szCs w:val="24"/>
                <w:u w:val="none"/>
              </w:rPr>
              <w:t>    （三）发展目标。</w:t>
            </w:r>
            <w:r>
              <w:rPr>
                <w:rFonts w:hint="eastAsia" w:ascii="宋体" w:hAnsi="宋体" w:eastAsia="宋体" w:cs="宋体"/>
                <w:caps w:val="0"/>
                <w:color w:val="000000"/>
                <w:spacing w:val="0"/>
                <w:sz w:val="24"/>
                <w:szCs w:val="24"/>
                <w:u w:val="none"/>
              </w:rPr>
              <w:br w:type="textWrapping"/>
            </w:r>
            <w:r>
              <w:rPr>
                <w:rFonts w:hint="eastAsia" w:ascii="宋体" w:hAnsi="宋体" w:eastAsia="宋体" w:cs="宋体"/>
                <w:caps w:val="0"/>
                <w:color w:val="000000"/>
                <w:spacing w:val="0"/>
                <w:sz w:val="24"/>
                <w:szCs w:val="24"/>
                <w:u w:val="none"/>
              </w:rPr>
              <w:t>    到2015年，初步建成适应经济社会发展需要的下一代国家信息基础设施。基本实现城市光纤到楼入户、农村宽带进乡入村，固定宽带家庭普及率达到50%，第三代移动通信及其长期演进技术（3G/LTE）用户普及率达到32.5%，行政村通宽带（有线或无线接入方式，下同）比例达到95%，学校、图书馆、医院等公益机构基本实现宽带接入。城市和农村家庭宽带接入能力基本达到20兆比特每秒（Mbps）和4Mbps，部分发达城市达到100Mbps。宽带应用水平大幅提升，移动互联网广泛渗透。网络与信息安全保障能力明显增强。</w:t>
            </w:r>
            <w:r>
              <w:rPr>
                <w:rFonts w:hint="eastAsia" w:ascii="宋体" w:hAnsi="宋体" w:eastAsia="宋体" w:cs="宋体"/>
                <w:caps w:val="0"/>
                <w:color w:val="000000"/>
                <w:spacing w:val="0"/>
                <w:sz w:val="24"/>
                <w:szCs w:val="24"/>
                <w:u w:val="none"/>
              </w:rPr>
              <w:br w:type="textWrapping"/>
            </w:r>
            <w:r>
              <w:rPr>
                <w:rFonts w:hint="eastAsia" w:ascii="宋体" w:hAnsi="宋体" w:eastAsia="宋体" w:cs="宋体"/>
                <w:caps w:val="0"/>
                <w:color w:val="000000"/>
                <w:spacing w:val="0"/>
                <w:sz w:val="24"/>
                <w:szCs w:val="24"/>
                <w:u w:val="none"/>
              </w:rPr>
              <w:t>    到2020年，我国宽带网络基础设施发展水平与发达国家之间的差距大幅缩小，国民充分享受宽带带来的经济增长、服务便利和发展机遇。宽带网络全面覆盖城乡，固定宽带家庭普及率达到70%，3G/LTE用户普及率达到85%，行政村通宽带比例超过98%。城市和农村家庭宽带接入能力分别达到50Mbps和12Mbps，发达城市部分家庭用户可达1吉比特每秒（Gbps）。宽带应用深度融入生产生活，移动互联网全面普及。技术创新和产业竞争力达到国际先进水平，形成较为健全的网络与信息安全保障体系。</w:t>
            </w:r>
            <w:r>
              <w:rPr>
                <w:rFonts w:hint="eastAsia" w:ascii="宋体" w:hAnsi="宋体" w:eastAsia="宋体" w:cs="宋体"/>
                <w:caps w:val="0"/>
                <w:color w:val="000000"/>
                <w:spacing w:val="0"/>
                <w:sz w:val="24"/>
                <w:szCs w:val="24"/>
                <w:u w:val="none"/>
              </w:rPr>
              <w:br w:type="textWrapping"/>
            </w:r>
            <w:r>
              <w:rPr>
                <w:rFonts w:hint="eastAsia" w:ascii="宋体" w:hAnsi="宋体" w:eastAsia="宋体" w:cs="宋体"/>
                <w:caps w:val="0"/>
                <w:color w:val="000000"/>
                <w:spacing w:val="0"/>
                <w:sz w:val="24"/>
                <w:szCs w:val="24"/>
                <w:u w:val="none"/>
              </w:rPr>
              <w:t>    </w:t>
            </w:r>
            <w:r>
              <w:rPr>
                <w:rStyle w:val="5"/>
                <w:rFonts w:hint="eastAsia" w:ascii="宋体" w:hAnsi="宋体" w:eastAsia="宋体" w:cs="宋体"/>
                <w:caps w:val="0"/>
                <w:color w:val="000000"/>
                <w:spacing w:val="0"/>
                <w:sz w:val="24"/>
                <w:szCs w:val="24"/>
                <w:u w:val="none"/>
              </w:rPr>
              <w:t>二、技术路线和发展时间表</w:t>
            </w:r>
            <w:r>
              <w:rPr>
                <w:rStyle w:val="5"/>
                <w:rFonts w:hint="eastAsia" w:ascii="宋体" w:hAnsi="宋体" w:eastAsia="宋体" w:cs="宋体"/>
                <w:caps w:val="0"/>
                <w:color w:val="000000"/>
                <w:spacing w:val="0"/>
                <w:sz w:val="24"/>
                <w:szCs w:val="24"/>
                <w:u w:val="none"/>
              </w:rPr>
              <w:br w:type="textWrapping"/>
            </w:r>
            <w:r>
              <w:rPr>
                <w:rFonts w:hint="eastAsia" w:ascii="宋体" w:hAnsi="宋体" w:eastAsia="宋体" w:cs="宋体"/>
                <w:caps w:val="0"/>
                <w:color w:val="000000"/>
                <w:spacing w:val="0"/>
                <w:sz w:val="24"/>
                <w:szCs w:val="24"/>
                <w:u w:val="none"/>
              </w:rPr>
              <w:t>    遵循宽带技术演进规律，充分利用现有网络基础，围绕经济社会发展总体要求和宽带发展目标，加强和完善总体布局，系统解决宽带网络接入速度、覆盖范围、应用普及等关键问题，强化产业发展和安全保障，不断提高宽带发展整体水平，全面提升支撑经济社会可持续发展的能力。</w:t>
            </w:r>
            <w:r>
              <w:rPr>
                <w:rFonts w:hint="eastAsia" w:ascii="宋体" w:hAnsi="宋体" w:eastAsia="宋体" w:cs="宋体"/>
                <w:caps w:val="0"/>
                <w:color w:val="000000"/>
                <w:spacing w:val="0"/>
                <w:sz w:val="24"/>
                <w:szCs w:val="24"/>
                <w:u w:val="none"/>
              </w:rPr>
              <w:br w:type="textWrapping"/>
            </w:r>
            <w:r>
              <w:rPr>
                <w:rFonts w:hint="eastAsia" w:ascii="宋体" w:hAnsi="宋体" w:eastAsia="宋体" w:cs="宋体"/>
                <w:caps w:val="0"/>
                <w:color w:val="000000"/>
                <w:spacing w:val="0"/>
                <w:sz w:val="24"/>
                <w:szCs w:val="24"/>
                <w:u w:val="none"/>
              </w:rPr>
              <w:t>    （一）技术路线。</w:t>
            </w:r>
            <w:r>
              <w:rPr>
                <w:rFonts w:hint="eastAsia" w:ascii="宋体" w:hAnsi="宋体" w:eastAsia="宋体" w:cs="宋体"/>
                <w:caps w:val="0"/>
                <w:color w:val="000000"/>
                <w:spacing w:val="0"/>
                <w:sz w:val="24"/>
                <w:szCs w:val="24"/>
                <w:u w:val="none"/>
              </w:rPr>
              <w:br w:type="textWrapping"/>
            </w:r>
            <w:r>
              <w:rPr>
                <w:rFonts w:hint="eastAsia" w:ascii="宋体" w:hAnsi="宋体" w:eastAsia="宋体" w:cs="宋体"/>
                <w:caps w:val="0"/>
                <w:color w:val="000000"/>
                <w:spacing w:val="0"/>
                <w:sz w:val="24"/>
                <w:szCs w:val="24"/>
                <w:u w:val="none"/>
              </w:rPr>
              <w:t>    统筹接入网、城域网和骨干网建设，综合利用有线技术和无线技术，结合基于互联网协议第6版（IPv6）的下一代互联网规模商用部署要求，分阶段系统推进宽带网络发展。</w:t>
            </w:r>
            <w:r>
              <w:rPr>
                <w:rFonts w:hint="eastAsia" w:ascii="宋体" w:hAnsi="宋体" w:eastAsia="宋体" w:cs="宋体"/>
                <w:caps w:val="0"/>
                <w:color w:val="000000"/>
                <w:spacing w:val="0"/>
                <w:sz w:val="24"/>
                <w:szCs w:val="24"/>
                <w:u w:val="none"/>
              </w:rPr>
              <w:br w:type="textWrapping"/>
            </w:r>
            <w:r>
              <w:rPr>
                <w:rFonts w:hint="eastAsia" w:ascii="宋体" w:hAnsi="宋体" w:eastAsia="宋体" w:cs="宋体"/>
                <w:caps w:val="0"/>
                <w:color w:val="000000"/>
                <w:spacing w:val="0"/>
                <w:sz w:val="24"/>
                <w:szCs w:val="24"/>
                <w:u w:val="none"/>
              </w:rPr>
              <w:t>    按照高速接入、广泛覆盖、多种手段、因地制宜的思路，推进接入网建设。城市地区利用光纤到户、光纤到楼等技术方式进行接入网建设和改造，并结合3G/LTE与无线局域网技术，实现宽带网络无缝覆盖。农村地区因地制宜，灵活采取有线、无线等技术方式进行接入网建设。</w:t>
            </w:r>
            <w:r>
              <w:rPr>
                <w:rFonts w:hint="eastAsia" w:ascii="宋体" w:hAnsi="宋体" w:eastAsia="宋体" w:cs="宋体"/>
                <w:caps w:val="0"/>
                <w:color w:val="000000"/>
                <w:spacing w:val="0"/>
                <w:sz w:val="24"/>
                <w:szCs w:val="24"/>
                <w:u w:val="none"/>
              </w:rPr>
              <w:br w:type="textWrapping"/>
            </w:r>
            <w:r>
              <w:rPr>
                <w:rFonts w:hint="eastAsia" w:ascii="宋体" w:hAnsi="宋体" w:eastAsia="宋体" w:cs="宋体"/>
                <w:caps w:val="0"/>
                <w:color w:val="000000"/>
                <w:spacing w:val="0"/>
                <w:sz w:val="24"/>
                <w:szCs w:val="24"/>
                <w:u w:val="none"/>
              </w:rPr>
              <w:t>    按照高速传送、综合承载、智能感知、安全可控的思路，推进城域网建设。逐步推动高速传输、分组化传送和大容量路由交换技术在城域网应用，扩大城域网带宽，提高流量承载能力；推进网络智能化改造，提升城域网的多业务承载、感知和安全管控水平。</w:t>
            </w:r>
            <w:r>
              <w:rPr>
                <w:rFonts w:hint="eastAsia" w:ascii="宋体" w:hAnsi="宋体" w:eastAsia="宋体" w:cs="宋体"/>
                <w:caps w:val="0"/>
                <w:color w:val="000000"/>
                <w:spacing w:val="0"/>
                <w:sz w:val="24"/>
                <w:szCs w:val="24"/>
                <w:u w:val="none"/>
              </w:rPr>
              <w:br w:type="textWrapping"/>
            </w:r>
            <w:r>
              <w:rPr>
                <w:rFonts w:hint="eastAsia" w:ascii="宋体" w:hAnsi="宋体" w:eastAsia="宋体" w:cs="宋体"/>
                <w:caps w:val="0"/>
                <w:color w:val="000000"/>
                <w:spacing w:val="0"/>
                <w:sz w:val="24"/>
                <w:szCs w:val="24"/>
                <w:u w:val="none"/>
              </w:rPr>
              <w:t>    按照优化架构、提升容量、智能调度、高效可靠的思路，推进骨干网建设。优化骨干网络架构，完善国际网络布局，全面推广超高速波分复用系统和集群路由器技术，提升骨干网络容量和智能调度能力，保障网络高速高效和安全可靠运行。</w:t>
            </w:r>
            <w:r>
              <w:rPr>
                <w:rFonts w:hint="eastAsia" w:ascii="宋体" w:hAnsi="宋体" w:eastAsia="宋体" w:cs="宋体"/>
                <w:caps w:val="0"/>
                <w:color w:val="000000"/>
                <w:spacing w:val="0"/>
                <w:sz w:val="24"/>
                <w:szCs w:val="24"/>
                <w:u w:val="none"/>
              </w:rPr>
              <w:br w:type="textWrapping"/>
            </w:r>
            <w:r>
              <w:rPr>
                <w:rFonts w:hint="eastAsia" w:ascii="宋体" w:hAnsi="宋体" w:eastAsia="宋体" w:cs="宋体"/>
                <w:caps w:val="0"/>
                <w:color w:val="000000"/>
                <w:spacing w:val="0"/>
                <w:sz w:val="24"/>
                <w:szCs w:val="24"/>
                <w:u w:val="none"/>
              </w:rPr>
              <w:t>    （二）发展时间表。</w:t>
            </w:r>
            <w:r>
              <w:rPr>
                <w:rFonts w:hint="eastAsia" w:ascii="宋体" w:hAnsi="宋体" w:eastAsia="宋体" w:cs="宋体"/>
                <w:caps w:val="0"/>
                <w:color w:val="000000"/>
                <w:spacing w:val="0"/>
                <w:sz w:val="24"/>
                <w:szCs w:val="24"/>
                <w:u w:val="none"/>
              </w:rPr>
              <w:br w:type="textWrapping"/>
            </w:r>
            <w:r>
              <w:rPr>
                <w:rFonts w:hint="eastAsia" w:ascii="宋体" w:hAnsi="宋体" w:eastAsia="宋体" w:cs="宋体"/>
                <w:caps w:val="0"/>
                <w:color w:val="000000"/>
                <w:spacing w:val="0"/>
                <w:sz w:val="24"/>
                <w:szCs w:val="24"/>
                <w:u w:val="none"/>
              </w:rPr>
              <w:t>    1.全面提速阶段（至2013年底）。重点加强光纤网络和3G网络建设，提高宽带网络接入速率，改善和提升用户上网体验。</w:t>
            </w:r>
            <w:r>
              <w:rPr>
                <w:rFonts w:hint="eastAsia" w:ascii="宋体" w:hAnsi="宋体" w:eastAsia="宋体" w:cs="宋体"/>
                <w:caps w:val="0"/>
                <w:color w:val="000000"/>
                <w:spacing w:val="0"/>
                <w:sz w:val="24"/>
                <w:szCs w:val="24"/>
                <w:u w:val="none"/>
              </w:rPr>
              <w:br w:type="textWrapping"/>
            </w:r>
            <w:r>
              <w:rPr>
                <w:rFonts w:hint="eastAsia" w:ascii="宋体" w:hAnsi="宋体" w:eastAsia="宋体" w:cs="宋体"/>
                <w:caps w:val="0"/>
                <w:color w:val="000000"/>
                <w:spacing w:val="0"/>
                <w:sz w:val="24"/>
                <w:szCs w:val="24"/>
                <w:u w:val="none"/>
              </w:rPr>
              <w:t>    城市地区着力推进光纤化成片改造，农村地区灵活采用有线和无线方式加快行政村宽带接入网建设，提高接入速度和网络使用性价比。进一步提升城市3G网络质量，扩大农村3G网络覆盖范围，做好时分双工模式移动通信长期演进技术（TD-LTE）扩大规模试验工作。加快下一代广播电视网建设，推进“光进铜退”和网络双向化改造，促进互联互通。同步推进城域网扩容升级。以网间互联为重点优化互联网骨干网。推动网站升级改造，提高网站接入速率。</w:t>
            </w:r>
            <w:r>
              <w:rPr>
                <w:rFonts w:hint="eastAsia" w:ascii="宋体" w:hAnsi="宋体" w:eastAsia="宋体" w:cs="宋体"/>
                <w:caps w:val="0"/>
                <w:color w:val="000000"/>
                <w:spacing w:val="0"/>
                <w:sz w:val="24"/>
                <w:szCs w:val="24"/>
                <w:u w:val="none"/>
              </w:rPr>
              <w:br w:type="textWrapping"/>
            </w:r>
            <w:r>
              <w:rPr>
                <w:rFonts w:hint="eastAsia" w:ascii="宋体" w:hAnsi="宋体" w:eastAsia="宋体" w:cs="宋体"/>
                <w:caps w:val="0"/>
                <w:color w:val="000000"/>
                <w:spacing w:val="0"/>
                <w:sz w:val="24"/>
                <w:szCs w:val="24"/>
                <w:u w:val="none"/>
              </w:rPr>
              <w:t>    到2013年底，固定宽带用户超过2.1亿户，城市和农村家庭固定宽带普及率分别达到55%和20%。3G/LTE用户超过3.3亿户，用户普及率达到25%。行政村通宽带比例达到90%。城市地区宽带用户中20Mbps宽带接入能力覆盖比例达到80%，农村地区宽带用户中4Mbps宽带接入能力覆盖比例达到85%。城乡无线宽带网络覆盖水平明显提升，无线局域网基本实现城市重要公共区域热点覆盖。全国有线电视网络互联互通平台覆盖有线电视网络用户比例达到60%。</w:t>
            </w:r>
            <w:r>
              <w:rPr>
                <w:rFonts w:hint="eastAsia" w:ascii="宋体" w:hAnsi="宋体" w:eastAsia="宋体" w:cs="宋体"/>
                <w:caps w:val="0"/>
                <w:color w:val="000000"/>
                <w:spacing w:val="0"/>
                <w:sz w:val="24"/>
                <w:szCs w:val="24"/>
                <w:u w:val="none"/>
              </w:rPr>
              <w:br w:type="textWrapping"/>
            </w:r>
            <w:r>
              <w:rPr>
                <w:rFonts w:hint="eastAsia" w:ascii="宋体" w:hAnsi="宋体" w:eastAsia="宋体" w:cs="宋体"/>
                <w:caps w:val="0"/>
                <w:color w:val="000000"/>
                <w:spacing w:val="0"/>
                <w:sz w:val="24"/>
                <w:szCs w:val="24"/>
                <w:u w:val="none"/>
              </w:rPr>
              <w:t>    2.推广普及阶段（2014-2015年）。重点在继续推进宽带网络提速的同时，加快扩大宽带网络覆盖范围和规模，深化应用普及。</w:t>
            </w:r>
            <w:r>
              <w:rPr>
                <w:rFonts w:hint="eastAsia" w:ascii="宋体" w:hAnsi="宋体" w:eastAsia="宋体" w:cs="宋体"/>
                <w:caps w:val="0"/>
                <w:color w:val="000000"/>
                <w:spacing w:val="0"/>
                <w:sz w:val="24"/>
                <w:szCs w:val="24"/>
                <w:u w:val="none"/>
              </w:rPr>
              <w:br w:type="textWrapping"/>
            </w:r>
            <w:r>
              <w:rPr>
                <w:rFonts w:hint="eastAsia" w:ascii="宋体" w:hAnsi="宋体" w:eastAsia="宋体" w:cs="宋体"/>
                <w:caps w:val="0"/>
                <w:color w:val="000000"/>
                <w:spacing w:val="0"/>
                <w:sz w:val="24"/>
                <w:szCs w:val="24"/>
                <w:u w:val="none"/>
              </w:rPr>
              <w:t>    城市地区加快扩大光纤到户网络覆盖范围和规模，农村地区积极采用无线技术加快宽带网络向行政村延伸，有条件的农村地区推进光纤到村。持续扩大3G覆盖范围和深度，推动TD-LTE规模商用。继续推进下一代广播电视网建设，进一步扩大下一代广播电视网覆盖范围，加速互联互通。全面优化国家骨干网络。加强光通信、宽带无线通信、下一代互联网、下一代广播电视网、云计算等重点领域新技术研发，在部分重点领域取得原始创新成果。</w:t>
            </w:r>
            <w:r>
              <w:rPr>
                <w:rFonts w:hint="eastAsia" w:ascii="宋体" w:hAnsi="宋体" w:eastAsia="宋体" w:cs="宋体"/>
                <w:caps w:val="0"/>
                <w:color w:val="000000"/>
                <w:spacing w:val="0"/>
                <w:sz w:val="24"/>
                <w:szCs w:val="24"/>
                <w:u w:val="none"/>
              </w:rPr>
              <w:br w:type="textWrapping"/>
            </w:r>
            <w:r>
              <w:rPr>
                <w:rFonts w:hint="eastAsia" w:ascii="宋体" w:hAnsi="宋体" w:eastAsia="宋体" w:cs="宋体"/>
                <w:caps w:val="0"/>
                <w:color w:val="000000"/>
                <w:spacing w:val="0"/>
                <w:sz w:val="24"/>
                <w:szCs w:val="24"/>
                <w:u w:val="none"/>
              </w:rPr>
              <w:t>    到2015年，固定宽带用户超过2.7亿户，城市和农村家庭固定宽带普及率分别达到65%和30%。3G/LTE用户超过4.5亿户，用户普及率达到32.5%。行政村通宽带比例达到95%。城市家庭宽带接入能力基本达到20Mbps，部分发达城市达到100Mbps，农村家庭宽带接入能力达到4Mbps。3G网络基本覆盖城乡，LTE实现规模商用，无线局域网全面实现公共区域热点覆盖，服务质量全面提升。互联网网民规模达到8.5亿，应用能力和服务水平显著提高。全国有线电视网络互联互通平台覆盖有线电视网络用户比例达到80%。互联网骨干网间互通质量、互联网服务提供商接入带宽和质量满足业务发展需求。在宽带无线通信、云计算等重点领域掌握一批拥有自主知识产权的核心关键技术。宽带技术标准体系逐步完善，国际标准话语权明显提高。</w:t>
            </w:r>
            <w:r>
              <w:rPr>
                <w:rFonts w:hint="eastAsia" w:ascii="宋体" w:hAnsi="宋体" w:eastAsia="宋体" w:cs="宋体"/>
                <w:caps w:val="0"/>
                <w:color w:val="000000"/>
                <w:spacing w:val="0"/>
                <w:sz w:val="24"/>
                <w:szCs w:val="24"/>
                <w:u w:val="none"/>
              </w:rPr>
              <w:br w:type="textWrapping"/>
            </w:r>
            <w:r>
              <w:rPr>
                <w:rFonts w:hint="eastAsia" w:ascii="宋体" w:hAnsi="宋体" w:eastAsia="宋体" w:cs="宋体"/>
                <w:caps w:val="0"/>
                <w:color w:val="000000"/>
                <w:spacing w:val="0"/>
                <w:sz w:val="24"/>
                <w:szCs w:val="24"/>
                <w:u w:val="none"/>
              </w:rPr>
              <w:t>    3.优化升级阶段（2016-2020年）。重点推进宽带网络优化和技术演进升级，宽带网络服务质量、应用水平和宽带产业支撑能力达到世界先进水平。</w:t>
            </w:r>
            <w:r>
              <w:rPr>
                <w:rFonts w:hint="eastAsia" w:ascii="宋体" w:hAnsi="宋体" w:eastAsia="宋体" w:cs="宋体"/>
                <w:caps w:val="0"/>
                <w:color w:val="000000"/>
                <w:spacing w:val="0"/>
                <w:sz w:val="24"/>
                <w:szCs w:val="24"/>
                <w:u w:val="none"/>
              </w:rPr>
              <w:br w:type="textWrapping"/>
            </w:r>
            <w:r>
              <w:rPr>
                <w:rFonts w:hint="eastAsia" w:ascii="宋体" w:hAnsi="宋体" w:eastAsia="宋体" w:cs="宋体"/>
                <w:caps w:val="0"/>
                <w:color w:val="000000"/>
                <w:spacing w:val="0"/>
                <w:sz w:val="24"/>
                <w:szCs w:val="24"/>
                <w:u w:val="none"/>
              </w:rPr>
              <w:t>    到2020年，基本建成覆盖城乡、服务便捷、高速畅通、技术先进的宽带网络基础设施。固定宽带用户达到4亿户，家庭普及率达到70%，光纤网络覆盖城市家庭。3G/LTE用户超过12亿户，用户普及率达到85%。行政村通宽带比例超过98%，并采用多种技术方式向有条件的自然村延伸。城市和农村家庭宽带接入能力分别达到50Mbps和12Mbps，50%的城市家庭用户达到100Mbps，发达城市部分家庭用户可达1Gbps，LTE基本覆盖城乡。互联网网民规模达到11亿，宽带应用服务水平和应用能力大幅提升。全国有线电视网络互联互通平台覆盖有线电视网络用户比例超过95%。全面突破制约宽带产业发展的高端基础产业瓶颈，宽带技术研发达到国际先进水平，建成结构完善、具有国际竞争力的宽带产业链，形成一批世界领先的创新型企业。 </w:t>
            </w:r>
          </w:p>
          <w:tbl>
            <w:tblPr>
              <w:tblW w:w="0" w:type="auto"/>
              <w:tblInd w:w="-2" w:type="dxa"/>
              <w:tblBorders>
                <w:top w:val="outset" w:color="DCDCDC" w:sz="6" w:space="0"/>
                <w:left w:val="outset" w:color="DCDCDC" w:sz="6" w:space="0"/>
                <w:bottom w:val="outset" w:color="DCDCDC" w:sz="6" w:space="0"/>
                <w:right w:val="outset" w:color="DCDCDC" w:sz="6" w:space="0"/>
                <w:insideH w:val="outset" w:color="DCDCDC" w:sz="6" w:space="0"/>
                <w:insideV w:val="outset" w:color="DCDCDC" w:sz="6" w:space="0"/>
              </w:tblBorders>
              <w:shd w:val="clear" w:color="auto" w:fill="FFFFFF"/>
              <w:tblLayout w:type="autofit"/>
              <w:tblCellMar>
                <w:top w:w="30" w:type="dxa"/>
                <w:left w:w="30" w:type="dxa"/>
                <w:bottom w:w="30" w:type="dxa"/>
                <w:right w:w="30" w:type="dxa"/>
              </w:tblCellMar>
            </w:tblPr>
            <w:tblGrid>
              <w:gridCol w:w="3150"/>
              <w:gridCol w:w="1395"/>
              <w:gridCol w:w="1426"/>
              <w:gridCol w:w="33"/>
              <w:gridCol w:w="1217"/>
              <w:gridCol w:w="1070"/>
            </w:tblGrid>
            <w:tr>
              <w:tblPrEx>
                <w:tblBorders>
                  <w:top w:val="outset" w:color="DCDCDC" w:sz="6" w:space="0"/>
                  <w:left w:val="outset" w:color="DCDCDC" w:sz="6" w:space="0"/>
                  <w:bottom w:val="outset" w:color="DCDCDC" w:sz="6" w:space="0"/>
                  <w:right w:val="outset" w:color="DCDCDC" w:sz="6" w:space="0"/>
                  <w:insideH w:val="outset" w:color="DCDCDC" w:sz="6" w:space="0"/>
                  <w:insideV w:val="outset" w:color="DCDCDC" w:sz="6" w:space="0"/>
                </w:tblBorders>
                <w:shd w:val="clear" w:color="auto" w:fill="FFFFFF"/>
                <w:tblCellMar>
                  <w:top w:w="30" w:type="dxa"/>
                  <w:left w:w="30" w:type="dxa"/>
                  <w:bottom w:w="30" w:type="dxa"/>
                  <w:right w:w="30" w:type="dxa"/>
                </w:tblCellMar>
              </w:tblPrEx>
              <w:trPr>
                <w:trHeight w:val="271" w:hRule="atLeast"/>
              </w:trPr>
              <w:tc>
                <w:tcPr>
                  <w:tcW w:w="8388" w:type="dxa"/>
                  <w:gridSpan w:val="6"/>
                  <w:tcBorders>
                    <w:top w:val="single" w:color="auto" w:sz="8" w:space="0"/>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top"/>
                </w:tcPr>
                <w:p>
                  <w:pPr>
                    <w:pStyle w:val="2"/>
                    <w:keepNext w:val="0"/>
                    <w:keepLines w:val="0"/>
                    <w:widowControl/>
                    <w:suppressLineNumbers w:val="0"/>
                    <w:ind w:left="0" w:firstLine="1995"/>
                    <w:jc w:val="center"/>
                  </w:pPr>
                  <w:r>
                    <w:rPr>
                      <w:rStyle w:val="5"/>
                      <w:rFonts w:hint="eastAsia" w:ascii="宋体" w:hAnsi="宋体" w:eastAsia="宋体" w:cs="宋体"/>
                      <w:sz w:val="24"/>
                      <w:szCs w:val="24"/>
                      <w:bdr w:val="none" w:color="auto" w:sz="0" w:space="0"/>
                    </w:rPr>
                    <w:t>“宽带中国”发展目标与发展时间表</w:t>
                  </w:r>
                  <w:r>
                    <w:rPr>
                      <w:bdr w:val="none" w:color="auto" w:sz="0" w:space="0"/>
                    </w:rPr>
                    <w:t>           </w:t>
                  </w:r>
                </w:p>
              </w:tc>
            </w:tr>
            <w:tr>
              <w:tblPrEx>
                <w:tblBorders>
                  <w:top w:val="outset" w:color="DCDCDC" w:sz="6" w:space="0"/>
                  <w:left w:val="outset" w:color="DCDCDC" w:sz="6" w:space="0"/>
                  <w:bottom w:val="outset" w:color="DCDCDC" w:sz="6" w:space="0"/>
                  <w:right w:val="outset" w:color="DCDCDC" w:sz="6" w:space="0"/>
                  <w:insideH w:val="outset" w:color="DCDCDC" w:sz="6" w:space="0"/>
                  <w:insideV w:val="outset" w:color="DCDCDC" w:sz="6" w:space="0"/>
                </w:tblBorders>
                <w:shd w:val="clear" w:color="auto" w:fill="FFFFFF"/>
                <w:tblCellMar>
                  <w:top w:w="30" w:type="dxa"/>
                  <w:left w:w="30" w:type="dxa"/>
                  <w:bottom w:w="30" w:type="dxa"/>
                  <w:right w:w="30" w:type="dxa"/>
                </w:tblCellMar>
              </w:tblPrEx>
              <w:trPr>
                <w:trHeight w:val="226" w:hRule="atLeast"/>
              </w:trPr>
              <w:tc>
                <w:tcPr>
                  <w:tcW w:w="3367"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top"/>
                </w:tcPr>
                <w:p>
                  <w:pPr>
                    <w:pStyle w:val="2"/>
                    <w:keepNext w:val="0"/>
                    <w:keepLines w:val="0"/>
                    <w:widowControl/>
                    <w:suppressLineNumbers w:val="0"/>
                    <w:ind w:left="0" w:firstLine="420"/>
                  </w:pPr>
                  <w:r>
                    <w:rPr>
                      <w:rFonts w:hint="eastAsia" w:ascii="宋体" w:hAnsi="宋体" w:eastAsia="宋体" w:cs="宋体"/>
                      <w:sz w:val="20"/>
                      <w:szCs w:val="20"/>
                      <w:bdr w:val="none" w:color="auto" w:sz="0" w:space="0"/>
                    </w:rPr>
                    <w:t>指标</w:t>
                  </w:r>
                </w:p>
              </w:tc>
              <w:tc>
                <w:tcPr>
                  <w:tcW w:w="1479"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top"/>
                </w:tcPr>
                <w:p>
                  <w:pPr>
                    <w:pStyle w:val="2"/>
                    <w:keepNext w:val="0"/>
                    <w:keepLines w:val="0"/>
                    <w:widowControl/>
                    <w:suppressLineNumbers w:val="0"/>
                    <w:ind w:left="0" w:firstLine="315"/>
                  </w:pPr>
                  <w:r>
                    <w:rPr>
                      <w:rFonts w:hint="eastAsia" w:ascii="宋体" w:hAnsi="宋体" w:eastAsia="宋体" w:cs="宋体"/>
                      <w:sz w:val="20"/>
                      <w:szCs w:val="20"/>
                      <w:bdr w:val="none" w:color="auto" w:sz="0" w:space="0"/>
                    </w:rPr>
                    <w:t>单位</w:t>
                  </w:r>
                </w:p>
              </w:tc>
              <w:tc>
                <w:tcPr>
                  <w:tcW w:w="1509"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top"/>
                </w:tcPr>
                <w:p>
                  <w:pPr>
                    <w:pStyle w:val="2"/>
                    <w:keepNext w:val="0"/>
                    <w:keepLines w:val="0"/>
                    <w:widowControl/>
                    <w:suppressLineNumbers w:val="0"/>
                  </w:pPr>
                  <w:r>
                    <w:rPr>
                      <w:sz w:val="20"/>
                      <w:szCs w:val="20"/>
                      <w:bdr w:val="none" w:color="auto" w:sz="0" w:space="0"/>
                    </w:rPr>
                    <w:t>2013</w:t>
                  </w:r>
                  <w:r>
                    <w:rPr>
                      <w:rFonts w:hint="eastAsia" w:ascii="宋体" w:hAnsi="宋体" w:eastAsia="宋体" w:cs="宋体"/>
                      <w:sz w:val="20"/>
                      <w:szCs w:val="20"/>
                      <w:bdr w:val="none" w:color="auto" w:sz="0" w:space="0"/>
                    </w:rPr>
                    <w:t>年</w:t>
                  </w:r>
                </w:p>
              </w:tc>
              <w:tc>
                <w:tcPr>
                  <w:tcW w:w="1293" w:type="dxa"/>
                  <w:gridSpan w:val="2"/>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top"/>
                </w:tcPr>
                <w:p>
                  <w:pPr>
                    <w:pStyle w:val="2"/>
                    <w:keepNext w:val="0"/>
                    <w:keepLines w:val="0"/>
                    <w:widowControl/>
                    <w:suppressLineNumbers w:val="0"/>
                  </w:pPr>
                  <w:r>
                    <w:rPr>
                      <w:sz w:val="20"/>
                      <w:szCs w:val="20"/>
                      <w:bdr w:val="none" w:color="auto" w:sz="0" w:space="0"/>
                    </w:rPr>
                    <w:t>2015</w:t>
                  </w:r>
                  <w:r>
                    <w:rPr>
                      <w:rFonts w:hint="eastAsia" w:ascii="宋体" w:hAnsi="宋体" w:eastAsia="宋体" w:cs="宋体"/>
                      <w:sz w:val="20"/>
                      <w:szCs w:val="20"/>
                      <w:bdr w:val="none" w:color="auto" w:sz="0" w:space="0"/>
                    </w:rPr>
                    <w:t>年</w:t>
                  </w:r>
                </w:p>
              </w:tc>
              <w:tc>
                <w:tcPr>
                  <w:tcW w:w="1114"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top"/>
                </w:tcPr>
                <w:p>
                  <w:pPr>
                    <w:pStyle w:val="2"/>
                    <w:keepNext w:val="0"/>
                    <w:keepLines w:val="0"/>
                    <w:widowControl/>
                    <w:suppressLineNumbers w:val="0"/>
                  </w:pPr>
                  <w:r>
                    <w:rPr>
                      <w:sz w:val="20"/>
                      <w:szCs w:val="20"/>
                      <w:bdr w:val="none" w:color="auto" w:sz="0" w:space="0"/>
                    </w:rPr>
                    <w:t>2020</w:t>
                  </w:r>
                  <w:r>
                    <w:rPr>
                      <w:rFonts w:hint="eastAsia" w:ascii="宋体" w:hAnsi="宋体" w:eastAsia="宋体" w:cs="宋体"/>
                      <w:sz w:val="20"/>
                      <w:szCs w:val="20"/>
                      <w:bdr w:val="none" w:color="auto" w:sz="0" w:space="0"/>
                    </w:rPr>
                    <w:t>年</w:t>
                  </w:r>
                </w:p>
              </w:tc>
            </w:tr>
            <w:tr>
              <w:tblPrEx>
                <w:tblBorders>
                  <w:top w:val="outset" w:color="DCDCDC" w:sz="6" w:space="0"/>
                  <w:left w:val="outset" w:color="DCDCDC" w:sz="6" w:space="0"/>
                  <w:bottom w:val="outset" w:color="DCDCDC" w:sz="6" w:space="0"/>
                  <w:right w:val="outset" w:color="DCDCDC" w:sz="6" w:space="0"/>
                  <w:insideH w:val="outset" w:color="DCDCDC" w:sz="6" w:space="0"/>
                  <w:insideV w:val="outset" w:color="DCDCDC" w:sz="6" w:space="0"/>
                </w:tblBorders>
                <w:shd w:val="clear" w:color="auto" w:fill="FFFFFF"/>
                <w:tblCellMar>
                  <w:top w:w="30" w:type="dxa"/>
                  <w:left w:w="30" w:type="dxa"/>
                  <w:bottom w:w="30" w:type="dxa"/>
                  <w:right w:w="30" w:type="dxa"/>
                </w:tblCellMar>
              </w:tblPrEx>
              <w:tc>
                <w:tcPr>
                  <w:tcW w:w="8388" w:type="dxa"/>
                  <w:gridSpan w:val="6"/>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top"/>
                </w:tcPr>
                <w:p>
                  <w:pPr>
                    <w:pStyle w:val="2"/>
                    <w:keepNext w:val="0"/>
                    <w:keepLines w:val="0"/>
                    <w:widowControl/>
                    <w:suppressLineNumbers w:val="0"/>
                    <w:ind w:left="0" w:firstLine="2520"/>
                    <w:jc w:val="center"/>
                  </w:pPr>
                  <w:r>
                    <w:rPr>
                      <w:sz w:val="20"/>
                      <w:szCs w:val="20"/>
                      <w:bdr w:val="none" w:color="auto" w:sz="0" w:space="0"/>
                    </w:rPr>
                    <w:t>1</w:t>
                  </w:r>
                  <w:r>
                    <w:rPr>
                      <w:rFonts w:hint="eastAsia" w:ascii="宋体" w:hAnsi="宋体" w:eastAsia="宋体" w:cs="宋体"/>
                      <w:sz w:val="20"/>
                      <w:szCs w:val="20"/>
                      <w:bdr w:val="none" w:color="auto" w:sz="0" w:space="0"/>
                    </w:rPr>
                    <w:t>.宽带用户规模                      </w:t>
                  </w:r>
                </w:p>
              </w:tc>
            </w:tr>
            <w:tr>
              <w:tblPrEx>
                <w:tblBorders>
                  <w:top w:val="outset" w:color="DCDCDC" w:sz="6" w:space="0"/>
                  <w:left w:val="outset" w:color="DCDCDC" w:sz="6" w:space="0"/>
                  <w:bottom w:val="outset" w:color="DCDCDC" w:sz="6" w:space="0"/>
                  <w:right w:val="outset" w:color="DCDCDC" w:sz="6" w:space="0"/>
                  <w:insideH w:val="outset" w:color="DCDCDC" w:sz="6" w:space="0"/>
                  <w:insideV w:val="outset" w:color="DCDCDC" w:sz="6" w:space="0"/>
                </w:tblBorders>
                <w:shd w:val="clear" w:color="auto" w:fill="FFFFFF"/>
                <w:tblCellMar>
                  <w:top w:w="30" w:type="dxa"/>
                  <w:left w:w="30" w:type="dxa"/>
                  <w:bottom w:w="30" w:type="dxa"/>
                  <w:right w:w="30" w:type="dxa"/>
                </w:tblCellMar>
              </w:tblPrEx>
              <w:tc>
                <w:tcPr>
                  <w:tcW w:w="3367"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top"/>
                </w:tcPr>
                <w:p>
                  <w:pPr>
                    <w:pStyle w:val="2"/>
                    <w:keepNext w:val="0"/>
                    <w:keepLines w:val="0"/>
                    <w:widowControl/>
                    <w:suppressLineNumbers w:val="0"/>
                  </w:pPr>
                  <w:r>
                    <w:rPr>
                      <w:rFonts w:hint="eastAsia" w:ascii="宋体" w:hAnsi="宋体" w:eastAsia="宋体" w:cs="宋体"/>
                      <w:sz w:val="20"/>
                      <w:szCs w:val="20"/>
                      <w:bdr w:val="none" w:color="auto" w:sz="0" w:space="0"/>
                    </w:rPr>
                    <w:t>固定宽带接入用户</w:t>
                  </w:r>
                </w:p>
              </w:tc>
              <w:tc>
                <w:tcPr>
                  <w:tcW w:w="1479"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top"/>
                </w:tcPr>
                <w:p>
                  <w:pPr>
                    <w:pStyle w:val="2"/>
                    <w:keepNext w:val="0"/>
                    <w:keepLines w:val="0"/>
                    <w:widowControl/>
                    <w:suppressLineNumbers w:val="0"/>
                  </w:pPr>
                  <w:r>
                    <w:rPr>
                      <w:rFonts w:hint="eastAsia" w:ascii="宋体" w:hAnsi="宋体" w:eastAsia="宋体" w:cs="宋体"/>
                      <w:sz w:val="20"/>
                      <w:szCs w:val="20"/>
                      <w:bdr w:val="none" w:color="auto" w:sz="0" w:space="0"/>
                    </w:rPr>
                    <w:t>亿户</w:t>
                  </w:r>
                </w:p>
              </w:tc>
              <w:tc>
                <w:tcPr>
                  <w:tcW w:w="1509"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top"/>
                </w:tcPr>
                <w:p>
                  <w:pPr>
                    <w:pStyle w:val="2"/>
                    <w:keepNext w:val="0"/>
                    <w:keepLines w:val="0"/>
                    <w:widowControl/>
                    <w:suppressLineNumbers w:val="0"/>
                  </w:pPr>
                  <w:r>
                    <w:rPr>
                      <w:rFonts w:hint="eastAsia" w:ascii="宋体" w:hAnsi="宋体" w:eastAsia="宋体" w:cs="宋体"/>
                      <w:sz w:val="20"/>
                      <w:szCs w:val="20"/>
                      <w:bdr w:val="none" w:color="auto" w:sz="0" w:space="0"/>
                    </w:rPr>
                    <w:t>2.1</w:t>
                  </w:r>
                </w:p>
              </w:tc>
              <w:tc>
                <w:tcPr>
                  <w:tcW w:w="1293" w:type="dxa"/>
                  <w:gridSpan w:val="2"/>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top"/>
                </w:tcPr>
                <w:p>
                  <w:pPr>
                    <w:pStyle w:val="2"/>
                    <w:keepNext w:val="0"/>
                    <w:keepLines w:val="0"/>
                    <w:widowControl/>
                    <w:suppressLineNumbers w:val="0"/>
                  </w:pPr>
                  <w:r>
                    <w:rPr>
                      <w:rFonts w:hint="eastAsia" w:ascii="宋体" w:hAnsi="宋体" w:eastAsia="宋体" w:cs="宋体"/>
                      <w:sz w:val="20"/>
                      <w:szCs w:val="20"/>
                      <w:bdr w:val="none" w:color="auto" w:sz="0" w:space="0"/>
                    </w:rPr>
                    <w:t>2.7</w:t>
                  </w:r>
                </w:p>
              </w:tc>
              <w:tc>
                <w:tcPr>
                  <w:tcW w:w="1114"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top"/>
                </w:tcPr>
                <w:p>
                  <w:pPr>
                    <w:pStyle w:val="2"/>
                    <w:keepNext w:val="0"/>
                    <w:keepLines w:val="0"/>
                    <w:widowControl/>
                    <w:suppressLineNumbers w:val="0"/>
                  </w:pPr>
                  <w:r>
                    <w:rPr>
                      <w:rFonts w:hint="eastAsia" w:ascii="宋体" w:hAnsi="宋体" w:eastAsia="宋体" w:cs="宋体"/>
                      <w:sz w:val="20"/>
                      <w:szCs w:val="20"/>
                      <w:bdr w:val="none" w:color="auto" w:sz="0" w:space="0"/>
                    </w:rPr>
                    <w:t>4.0</w:t>
                  </w:r>
                </w:p>
              </w:tc>
            </w:tr>
            <w:tr>
              <w:tblPrEx>
                <w:tblBorders>
                  <w:top w:val="outset" w:color="DCDCDC" w:sz="6" w:space="0"/>
                  <w:left w:val="outset" w:color="DCDCDC" w:sz="6" w:space="0"/>
                  <w:bottom w:val="outset" w:color="DCDCDC" w:sz="6" w:space="0"/>
                  <w:right w:val="outset" w:color="DCDCDC" w:sz="6" w:space="0"/>
                  <w:insideH w:val="outset" w:color="DCDCDC" w:sz="6" w:space="0"/>
                  <w:insideV w:val="outset" w:color="DCDCDC" w:sz="6" w:space="0"/>
                </w:tblBorders>
                <w:shd w:val="clear" w:color="auto" w:fill="FFFFFF"/>
                <w:tblCellMar>
                  <w:top w:w="30" w:type="dxa"/>
                  <w:left w:w="30" w:type="dxa"/>
                  <w:bottom w:w="30" w:type="dxa"/>
                  <w:right w:w="30" w:type="dxa"/>
                </w:tblCellMar>
              </w:tblPrEx>
              <w:tc>
                <w:tcPr>
                  <w:tcW w:w="3367"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top"/>
                </w:tcPr>
                <w:p>
                  <w:pPr>
                    <w:pStyle w:val="2"/>
                    <w:keepNext w:val="0"/>
                    <w:keepLines w:val="0"/>
                    <w:widowControl/>
                    <w:suppressLineNumbers w:val="0"/>
                    <w:ind w:left="0" w:firstLine="420"/>
                  </w:pPr>
                  <w:r>
                    <w:rPr>
                      <w:rFonts w:hint="eastAsia" w:ascii="宋体" w:hAnsi="宋体" w:eastAsia="宋体" w:cs="宋体"/>
                      <w:sz w:val="20"/>
                      <w:szCs w:val="20"/>
                      <w:bdr w:val="none" w:color="auto" w:sz="0" w:space="0"/>
                    </w:rPr>
                    <w:t>其中：光纤到户（</w:t>
                  </w:r>
                  <w:r>
                    <w:rPr>
                      <w:sz w:val="20"/>
                      <w:szCs w:val="20"/>
                      <w:bdr w:val="none" w:color="auto" w:sz="0" w:space="0"/>
                    </w:rPr>
                    <w:t>FTTH</w:t>
                  </w:r>
                  <w:r>
                    <w:rPr>
                      <w:rFonts w:hint="eastAsia" w:ascii="宋体" w:hAnsi="宋体" w:eastAsia="宋体" w:cs="宋体"/>
                      <w:sz w:val="20"/>
                      <w:szCs w:val="20"/>
                      <w:bdr w:val="none" w:color="auto" w:sz="0" w:space="0"/>
                    </w:rPr>
                    <w:t>）用户</w:t>
                  </w:r>
                </w:p>
              </w:tc>
              <w:tc>
                <w:tcPr>
                  <w:tcW w:w="1479"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top"/>
                </w:tcPr>
                <w:p>
                  <w:pPr>
                    <w:pStyle w:val="2"/>
                    <w:keepNext w:val="0"/>
                    <w:keepLines w:val="0"/>
                    <w:widowControl/>
                    <w:suppressLineNumbers w:val="0"/>
                  </w:pPr>
                  <w:r>
                    <w:rPr>
                      <w:rFonts w:hint="eastAsia" w:ascii="宋体" w:hAnsi="宋体" w:eastAsia="宋体" w:cs="宋体"/>
                      <w:sz w:val="20"/>
                      <w:szCs w:val="20"/>
                      <w:bdr w:val="none" w:color="auto" w:sz="0" w:space="0"/>
                    </w:rPr>
                    <w:t>亿户</w:t>
                  </w:r>
                </w:p>
              </w:tc>
              <w:tc>
                <w:tcPr>
                  <w:tcW w:w="1509"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top"/>
                </w:tcPr>
                <w:p>
                  <w:pPr>
                    <w:pStyle w:val="2"/>
                    <w:keepNext w:val="0"/>
                    <w:keepLines w:val="0"/>
                    <w:widowControl/>
                    <w:suppressLineNumbers w:val="0"/>
                  </w:pPr>
                  <w:r>
                    <w:rPr>
                      <w:sz w:val="20"/>
                      <w:szCs w:val="20"/>
                      <w:bdr w:val="none" w:color="auto" w:sz="0" w:space="0"/>
                    </w:rPr>
                    <w:t>0.3</w:t>
                  </w:r>
                </w:p>
              </w:tc>
              <w:tc>
                <w:tcPr>
                  <w:tcW w:w="1293" w:type="dxa"/>
                  <w:gridSpan w:val="2"/>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top"/>
                </w:tcPr>
                <w:p>
                  <w:pPr>
                    <w:pStyle w:val="2"/>
                    <w:keepNext w:val="0"/>
                    <w:keepLines w:val="0"/>
                    <w:widowControl/>
                    <w:suppressLineNumbers w:val="0"/>
                  </w:pPr>
                  <w:r>
                    <w:rPr>
                      <w:sz w:val="20"/>
                      <w:szCs w:val="20"/>
                      <w:bdr w:val="none" w:color="auto" w:sz="0" w:space="0"/>
                    </w:rPr>
                    <w:t>0.7</w:t>
                  </w:r>
                </w:p>
              </w:tc>
              <w:tc>
                <w:tcPr>
                  <w:tcW w:w="1114"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top"/>
                </w:tcPr>
                <w:p>
                  <w:pPr>
                    <w:pStyle w:val="2"/>
                    <w:keepNext w:val="0"/>
                    <w:keepLines w:val="0"/>
                    <w:widowControl/>
                    <w:suppressLineNumbers w:val="0"/>
                  </w:pPr>
                  <w:r>
                    <w:rPr>
                      <w:rFonts w:hint="eastAsia" w:ascii="宋体" w:hAnsi="宋体" w:eastAsia="宋体" w:cs="宋体"/>
                      <w:bdr w:val="none" w:color="auto" w:sz="0" w:space="0"/>
                    </w:rPr>
                    <w:t>——</w:t>
                  </w:r>
                </w:p>
              </w:tc>
            </w:tr>
            <w:tr>
              <w:tblPrEx>
                <w:tblBorders>
                  <w:top w:val="outset" w:color="DCDCDC" w:sz="6" w:space="0"/>
                  <w:left w:val="outset" w:color="DCDCDC" w:sz="6" w:space="0"/>
                  <w:bottom w:val="outset" w:color="DCDCDC" w:sz="6" w:space="0"/>
                  <w:right w:val="outset" w:color="DCDCDC" w:sz="6" w:space="0"/>
                  <w:insideH w:val="outset" w:color="DCDCDC" w:sz="6" w:space="0"/>
                  <w:insideV w:val="outset" w:color="DCDCDC" w:sz="6" w:space="0"/>
                </w:tblBorders>
                <w:shd w:val="clear" w:color="auto" w:fill="FFFFFF"/>
                <w:tblCellMar>
                  <w:top w:w="30" w:type="dxa"/>
                  <w:left w:w="30" w:type="dxa"/>
                  <w:bottom w:w="30" w:type="dxa"/>
                  <w:right w:w="30" w:type="dxa"/>
                </w:tblCellMar>
              </w:tblPrEx>
              <w:tc>
                <w:tcPr>
                  <w:tcW w:w="3367"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top"/>
                </w:tcPr>
                <w:p>
                  <w:pPr>
                    <w:pStyle w:val="2"/>
                    <w:keepNext w:val="0"/>
                    <w:keepLines w:val="0"/>
                    <w:widowControl/>
                    <w:suppressLineNumbers w:val="0"/>
                    <w:ind w:left="0" w:firstLine="420"/>
                  </w:pPr>
                  <w:r>
                    <w:rPr>
                      <w:rFonts w:hint="eastAsia" w:ascii="宋体" w:hAnsi="宋体" w:eastAsia="宋体" w:cs="宋体"/>
                      <w:sz w:val="20"/>
                      <w:szCs w:val="20"/>
                      <w:bdr w:val="none" w:color="auto" w:sz="0" w:space="0"/>
                    </w:rPr>
                    <w:t>其中：城市宽带用户</w:t>
                  </w:r>
                </w:p>
              </w:tc>
              <w:tc>
                <w:tcPr>
                  <w:tcW w:w="1479"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top"/>
                </w:tcPr>
                <w:p>
                  <w:pPr>
                    <w:pStyle w:val="2"/>
                    <w:keepNext w:val="0"/>
                    <w:keepLines w:val="0"/>
                    <w:widowControl/>
                    <w:suppressLineNumbers w:val="0"/>
                  </w:pPr>
                  <w:r>
                    <w:rPr>
                      <w:rFonts w:hint="eastAsia" w:ascii="宋体" w:hAnsi="宋体" w:eastAsia="宋体" w:cs="宋体"/>
                      <w:sz w:val="20"/>
                      <w:szCs w:val="20"/>
                      <w:bdr w:val="none" w:color="auto" w:sz="0" w:space="0"/>
                    </w:rPr>
                    <w:t>亿户</w:t>
                  </w:r>
                </w:p>
              </w:tc>
              <w:tc>
                <w:tcPr>
                  <w:tcW w:w="1509"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top"/>
                </w:tcPr>
                <w:p>
                  <w:pPr>
                    <w:pStyle w:val="2"/>
                    <w:keepNext w:val="0"/>
                    <w:keepLines w:val="0"/>
                    <w:widowControl/>
                    <w:suppressLineNumbers w:val="0"/>
                  </w:pPr>
                  <w:r>
                    <w:rPr>
                      <w:sz w:val="20"/>
                      <w:szCs w:val="20"/>
                      <w:bdr w:val="none" w:color="auto" w:sz="0" w:space="0"/>
                    </w:rPr>
                    <w:t>1.6</w:t>
                  </w:r>
                </w:p>
              </w:tc>
              <w:tc>
                <w:tcPr>
                  <w:tcW w:w="1293" w:type="dxa"/>
                  <w:gridSpan w:val="2"/>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top"/>
                </w:tcPr>
                <w:p>
                  <w:pPr>
                    <w:pStyle w:val="2"/>
                    <w:keepNext w:val="0"/>
                    <w:keepLines w:val="0"/>
                    <w:widowControl/>
                    <w:suppressLineNumbers w:val="0"/>
                  </w:pPr>
                  <w:r>
                    <w:rPr>
                      <w:sz w:val="20"/>
                      <w:szCs w:val="20"/>
                      <w:bdr w:val="none" w:color="auto" w:sz="0" w:space="0"/>
                    </w:rPr>
                    <w:t>2.0</w:t>
                  </w:r>
                </w:p>
              </w:tc>
              <w:tc>
                <w:tcPr>
                  <w:tcW w:w="1114"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top"/>
                </w:tcPr>
                <w:p>
                  <w:pPr>
                    <w:pStyle w:val="2"/>
                    <w:keepNext w:val="0"/>
                    <w:keepLines w:val="0"/>
                    <w:widowControl/>
                    <w:suppressLineNumbers w:val="0"/>
                  </w:pPr>
                  <w:r>
                    <w:rPr>
                      <w:rFonts w:hint="eastAsia" w:ascii="宋体" w:hAnsi="宋体" w:eastAsia="宋体" w:cs="宋体"/>
                      <w:bdr w:val="none" w:color="auto" w:sz="0" w:space="0"/>
                    </w:rPr>
                    <w:t>——</w:t>
                  </w:r>
                </w:p>
              </w:tc>
            </w:tr>
            <w:tr>
              <w:tblPrEx>
                <w:tblBorders>
                  <w:top w:val="outset" w:color="DCDCDC" w:sz="6" w:space="0"/>
                  <w:left w:val="outset" w:color="DCDCDC" w:sz="6" w:space="0"/>
                  <w:bottom w:val="outset" w:color="DCDCDC" w:sz="6" w:space="0"/>
                  <w:right w:val="outset" w:color="DCDCDC" w:sz="6" w:space="0"/>
                  <w:insideH w:val="outset" w:color="DCDCDC" w:sz="6" w:space="0"/>
                  <w:insideV w:val="outset" w:color="DCDCDC" w:sz="6" w:space="0"/>
                </w:tblBorders>
                <w:shd w:val="clear" w:color="auto" w:fill="FFFFFF"/>
                <w:tblCellMar>
                  <w:top w:w="30" w:type="dxa"/>
                  <w:left w:w="30" w:type="dxa"/>
                  <w:bottom w:w="30" w:type="dxa"/>
                  <w:right w:w="30" w:type="dxa"/>
                </w:tblCellMar>
              </w:tblPrEx>
              <w:tc>
                <w:tcPr>
                  <w:tcW w:w="3367"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top"/>
                </w:tcPr>
                <w:p>
                  <w:pPr>
                    <w:pStyle w:val="2"/>
                    <w:keepNext w:val="0"/>
                    <w:keepLines w:val="0"/>
                    <w:widowControl/>
                    <w:suppressLineNumbers w:val="0"/>
                    <w:ind w:left="0" w:firstLine="1050"/>
                  </w:pPr>
                  <w:r>
                    <w:rPr>
                      <w:rFonts w:hint="eastAsia" w:ascii="宋体" w:hAnsi="宋体" w:eastAsia="宋体" w:cs="宋体"/>
                      <w:sz w:val="20"/>
                      <w:szCs w:val="20"/>
                      <w:bdr w:val="none" w:color="auto" w:sz="0" w:space="0"/>
                    </w:rPr>
                    <w:t>农村宽带用户</w:t>
                  </w:r>
                </w:p>
              </w:tc>
              <w:tc>
                <w:tcPr>
                  <w:tcW w:w="1479"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top"/>
                </w:tcPr>
                <w:p>
                  <w:pPr>
                    <w:pStyle w:val="2"/>
                    <w:keepNext w:val="0"/>
                    <w:keepLines w:val="0"/>
                    <w:widowControl/>
                    <w:suppressLineNumbers w:val="0"/>
                  </w:pPr>
                  <w:r>
                    <w:rPr>
                      <w:rFonts w:hint="eastAsia" w:ascii="宋体" w:hAnsi="宋体" w:eastAsia="宋体" w:cs="宋体"/>
                      <w:sz w:val="20"/>
                      <w:szCs w:val="20"/>
                      <w:bdr w:val="none" w:color="auto" w:sz="0" w:space="0"/>
                    </w:rPr>
                    <w:t>亿户</w:t>
                  </w:r>
                </w:p>
              </w:tc>
              <w:tc>
                <w:tcPr>
                  <w:tcW w:w="1509"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top"/>
                </w:tcPr>
                <w:p>
                  <w:pPr>
                    <w:pStyle w:val="2"/>
                    <w:keepNext w:val="0"/>
                    <w:keepLines w:val="0"/>
                    <w:widowControl/>
                    <w:suppressLineNumbers w:val="0"/>
                  </w:pPr>
                  <w:r>
                    <w:rPr>
                      <w:sz w:val="20"/>
                      <w:szCs w:val="20"/>
                      <w:bdr w:val="none" w:color="auto" w:sz="0" w:space="0"/>
                    </w:rPr>
                    <w:t>0.5</w:t>
                  </w:r>
                </w:p>
              </w:tc>
              <w:tc>
                <w:tcPr>
                  <w:tcW w:w="1293" w:type="dxa"/>
                  <w:gridSpan w:val="2"/>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top"/>
                </w:tcPr>
                <w:p>
                  <w:pPr>
                    <w:pStyle w:val="2"/>
                    <w:keepNext w:val="0"/>
                    <w:keepLines w:val="0"/>
                    <w:widowControl/>
                    <w:suppressLineNumbers w:val="0"/>
                  </w:pPr>
                  <w:r>
                    <w:rPr>
                      <w:sz w:val="20"/>
                      <w:szCs w:val="20"/>
                      <w:bdr w:val="none" w:color="auto" w:sz="0" w:space="0"/>
                    </w:rPr>
                    <w:t>0.7</w:t>
                  </w:r>
                </w:p>
              </w:tc>
              <w:tc>
                <w:tcPr>
                  <w:tcW w:w="1114"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top"/>
                </w:tcPr>
                <w:p>
                  <w:pPr>
                    <w:pStyle w:val="2"/>
                    <w:keepNext w:val="0"/>
                    <w:keepLines w:val="0"/>
                    <w:widowControl/>
                    <w:suppressLineNumbers w:val="0"/>
                  </w:pPr>
                  <w:r>
                    <w:rPr>
                      <w:rFonts w:hint="eastAsia" w:ascii="宋体" w:hAnsi="宋体" w:eastAsia="宋体" w:cs="宋体"/>
                      <w:bdr w:val="none" w:color="auto" w:sz="0" w:space="0"/>
                    </w:rPr>
                    <w:t>——</w:t>
                  </w:r>
                </w:p>
              </w:tc>
            </w:tr>
            <w:tr>
              <w:tblPrEx>
                <w:tblBorders>
                  <w:top w:val="outset" w:color="DCDCDC" w:sz="6" w:space="0"/>
                  <w:left w:val="outset" w:color="DCDCDC" w:sz="6" w:space="0"/>
                  <w:bottom w:val="outset" w:color="DCDCDC" w:sz="6" w:space="0"/>
                  <w:right w:val="outset" w:color="DCDCDC" w:sz="6" w:space="0"/>
                  <w:insideH w:val="outset" w:color="DCDCDC" w:sz="6" w:space="0"/>
                  <w:insideV w:val="outset" w:color="DCDCDC" w:sz="6" w:space="0"/>
                </w:tblBorders>
                <w:shd w:val="clear" w:color="auto" w:fill="FFFFFF"/>
                <w:tblCellMar>
                  <w:top w:w="30" w:type="dxa"/>
                  <w:left w:w="30" w:type="dxa"/>
                  <w:bottom w:w="30" w:type="dxa"/>
                  <w:right w:w="30" w:type="dxa"/>
                </w:tblCellMar>
              </w:tblPrEx>
              <w:tc>
                <w:tcPr>
                  <w:tcW w:w="3367"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top"/>
                </w:tcPr>
                <w:p>
                  <w:pPr>
                    <w:pStyle w:val="2"/>
                    <w:keepNext w:val="0"/>
                    <w:keepLines w:val="0"/>
                    <w:widowControl/>
                    <w:suppressLineNumbers w:val="0"/>
                  </w:pPr>
                  <w:r>
                    <w:rPr>
                      <w:sz w:val="20"/>
                      <w:szCs w:val="20"/>
                      <w:bdr w:val="none" w:color="auto" w:sz="0" w:space="0"/>
                    </w:rPr>
                    <w:t>3G/LTE</w:t>
                  </w:r>
                  <w:r>
                    <w:rPr>
                      <w:rFonts w:hint="eastAsia" w:ascii="宋体" w:hAnsi="宋体" w:eastAsia="宋体" w:cs="宋体"/>
                      <w:sz w:val="20"/>
                      <w:szCs w:val="20"/>
                      <w:bdr w:val="none" w:color="auto" w:sz="0" w:space="0"/>
                    </w:rPr>
                    <w:t>用户</w:t>
                  </w:r>
                </w:p>
              </w:tc>
              <w:tc>
                <w:tcPr>
                  <w:tcW w:w="1479"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top"/>
                </w:tcPr>
                <w:p>
                  <w:pPr>
                    <w:pStyle w:val="2"/>
                    <w:keepNext w:val="0"/>
                    <w:keepLines w:val="0"/>
                    <w:widowControl/>
                    <w:suppressLineNumbers w:val="0"/>
                  </w:pPr>
                  <w:r>
                    <w:rPr>
                      <w:rFonts w:hint="eastAsia" w:ascii="宋体" w:hAnsi="宋体" w:eastAsia="宋体" w:cs="宋体"/>
                      <w:sz w:val="20"/>
                      <w:szCs w:val="20"/>
                      <w:bdr w:val="none" w:color="auto" w:sz="0" w:space="0"/>
                    </w:rPr>
                    <w:t>亿户</w:t>
                  </w:r>
                </w:p>
              </w:tc>
              <w:tc>
                <w:tcPr>
                  <w:tcW w:w="1509"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top"/>
                </w:tcPr>
                <w:p>
                  <w:pPr>
                    <w:pStyle w:val="2"/>
                    <w:keepNext w:val="0"/>
                    <w:keepLines w:val="0"/>
                    <w:widowControl/>
                    <w:suppressLineNumbers w:val="0"/>
                  </w:pPr>
                  <w:r>
                    <w:rPr>
                      <w:sz w:val="20"/>
                      <w:szCs w:val="20"/>
                      <w:bdr w:val="none" w:color="auto" w:sz="0" w:space="0"/>
                    </w:rPr>
                    <w:t>3.3</w:t>
                  </w:r>
                </w:p>
              </w:tc>
              <w:tc>
                <w:tcPr>
                  <w:tcW w:w="1293" w:type="dxa"/>
                  <w:gridSpan w:val="2"/>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top"/>
                </w:tcPr>
                <w:p>
                  <w:pPr>
                    <w:pStyle w:val="2"/>
                    <w:keepNext w:val="0"/>
                    <w:keepLines w:val="0"/>
                    <w:widowControl/>
                    <w:suppressLineNumbers w:val="0"/>
                  </w:pPr>
                  <w:r>
                    <w:rPr>
                      <w:sz w:val="20"/>
                      <w:szCs w:val="20"/>
                      <w:bdr w:val="none" w:color="auto" w:sz="0" w:space="0"/>
                    </w:rPr>
                    <w:t>4.5</w:t>
                  </w:r>
                </w:p>
              </w:tc>
              <w:tc>
                <w:tcPr>
                  <w:tcW w:w="1114"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top"/>
                </w:tcPr>
                <w:p>
                  <w:pPr>
                    <w:pStyle w:val="2"/>
                    <w:keepNext w:val="0"/>
                    <w:keepLines w:val="0"/>
                    <w:widowControl/>
                    <w:suppressLineNumbers w:val="0"/>
                  </w:pPr>
                  <w:r>
                    <w:rPr>
                      <w:sz w:val="20"/>
                      <w:szCs w:val="20"/>
                      <w:bdr w:val="none" w:color="auto" w:sz="0" w:space="0"/>
                    </w:rPr>
                    <w:t>12</w:t>
                  </w:r>
                </w:p>
              </w:tc>
            </w:tr>
            <w:tr>
              <w:tblPrEx>
                <w:tblBorders>
                  <w:top w:val="outset" w:color="DCDCDC" w:sz="6" w:space="0"/>
                  <w:left w:val="outset" w:color="DCDCDC" w:sz="6" w:space="0"/>
                  <w:bottom w:val="outset" w:color="DCDCDC" w:sz="6" w:space="0"/>
                  <w:right w:val="outset" w:color="DCDCDC" w:sz="6" w:space="0"/>
                  <w:insideH w:val="outset" w:color="DCDCDC" w:sz="6" w:space="0"/>
                  <w:insideV w:val="outset" w:color="DCDCDC" w:sz="6" w:space="0"/>
                </w:tblBorders>
                <w:shd w:val="clear" w:color="auto" w:fill="FFFFFF"/>
                <w:tblCellMar>
                  <w:top w:w="30" w:type="dxa"/>
                  <w:left w:w="30" w:type="dxa"/>
                  <w:bottom w:w="30" w:type="dxa"/>
                  <w:right w:w="30" w:type="dxa"/>
                </w:tblCellMar>
              </w:tblPrEx>
              <w:tc>
                <w:tcPr>
                  <w:tcW w:w="8388" w:type="dxa"/>
                  <w:gridSpan w:val="6"/>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top"/>
                </w:tcPr>
                <w:p>
                  <w:pPr>
                    <w:pStyle w:val="2"/>
                    <w:keepNext w:val="0"/>
                    <w:keepLines w:val="0"/>
                    <w:widowControl/>
                    <w:suppressLineNumbers w:val="0"/>
                    <w:ind w:left="0" w:firstLine="3150"/>
                  </w:pPr>
                  <w:r>
                    <w:rPr>
                      <w:bdr w:val="none" w:color="auto" w:sz="0" w:space="0"/>
                    </w:rPr>
                    <w:t>   </w:t>
                  </w:r>
                  <w:r>
                    <w:rPr>
                      <w:sz w:val="20"/>
                      <w:szCs w:val="20"/>
                      <w:bdr w:val="none" w:color="auto" w:sz="0" w:space="0"/>
                    </w:rPr>
                    <w:t>2.</w:t>
                  </w:r>
                  <w:r>
                    <w:rPr>
                      <w:rFonts w:hint="eastAsia" w:ascii="宋体" w:hAnsi="宋体" w:eastAsia="宋体" w:cs="宋体"/>
                      <w:sz w:val="20"/>
                      <w:szCs w:val="20"/>
                      <w:bdr w:val="none" w:color="auto" w:sz="0" w:space="0"/>
                    </w:rPr>
                    <w:t>宽带普及水平</w:t>
                  </w:r>
                </w:p>
              </w:tc>
            </w:tr>
            <w:tr>
              <w:tblPrEx>
                <w:tblBorders>
                  <w:top w:val="outset" w:color="DCDCDC" w:sz="6" w:space="0"/>
                  <w:left w:val="outset" w:color="DCDCDC" w:sz="6" w:space="0"/>
                  <w:bottom w:val="outset" w:color="DCDCDC" w:sz="6" w:space="0"/>
                  <w:right w:val="outset" w:color="DCDCDC" w:sz="6" w:space="0"/>
                  <w:insideH w:val="outset" w:color="DCDCDC" w:sz="6" w:space="0"/>
                  <w:insideV w:val="outset" w:color="DCDCDC" w:sz="6" w:space="0"/>
                </w:tblBorders>
                <w:shd w:val="clear" w:color="auto" w:fill="FFFFFF"/>
                <w:tblCellMar>
                  <w:top w:w="30" w:type="dxa"/>
                  <w:left w:w="30" w:type="dxa"/>
                  <w:bottom w:w="30" w:type="dxa"/>
                  <w:right w:w="30" w:type="dxa"/>
                </w:tblCellMar>
              </w:tblPrEx>
              <w:tc>
                <w:tcPr>
                  <w:tcW w:w="3367"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top"/>
                </w:tcPr>
                <w:p>
                  <w:pPr>
                    <w:pStyle w:val="2"/>
                    <w:keepNext w:val="0"/>
                    <w:keepLines w:val="0"/>
                    <w:widowControl/>
                    <w:suppressLineNumbers w:val="0"/>
                  </w:pPr>
                  <w:r>
                    <w:rPr>
                      <w:rFonts w:hint="eastAsia" w:ascii="宋体" w:hAnsi="宋体" w:eastAsia="宋体" w:cs="宋体"/>
                      <w:sz w:val="20"/>
                      <w:szCs w:val="20"/>
                      <w:bdr w:val="none" w:color="auto" w:sz="0" w:space="0"/>
                    </w:rPr>
                    <w:t>固定宽带家庭普及率</w:t>
                  </w:r>
                </w:p>
              </w:tc>
              <w:tc>
                <w:tcPr>
                  <w:tcW w:w="1479"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top"/>
                </w:tcPr>
                <w:p>
                  <w:pPr>
                    <w:pStyle w:val="2"/>
                    <w:keepNext w:val="0"/>
                    <w:keepLines w:val="0"/>
                    <w:widowControl/>
                    <w:suppressLineNumbers w:val="0"/>
                  </w:pPr>
                  <w:r>
                    <w:rPr>
                      <w:sz w:val="20"/>
                      <w:szCs w:val="20"/>
                      <w:bdr w:val="none" w:color="auto" w:sz="0" w:space="0"/>
                    </w:rPr>
                    <w:t>%</w:t>
                  </w:r>
                </w:p>
              </w:tc>
              <w:tc>
                <w:tcPr>
                  <w:tcW w:w="1509"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top"/>
                </w:tcPr>
                <w:p>
                  <w:pPr>
                    <w:pStyle w:val="2"/>
                    <w:keepNext w:val="0"/>
                    <w:keepLines w:val="0"/>
                    <w:widowControl/>
                    <w:suppressLineNumbers w:val="0"/>
                  </w:pPr>
                  <w:r>
                    <w:rPr>
                      <w:sz w:val="20"/>
                      <w:szCs w:val="20"/>
                      <w:bdr w:val="none" w:color="auto" w:sz="0" w:space="0"/>
                    </w:rPr>
                    <w:t>40</w:t>
                  </w:r>
                </w:p>
              </w:tc>
              <w:tc>
                <w:tcPr>
                  <w:tcW w:w="1293" w:type="dxa"/>
                  <w:gridSpan w:val="2"/>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top"/>
                </w:tcPr>
                <w:p>
                  <w:pPr>
                    <w:pStyle w:val="2"/>
                    <w:keepNext w:val="0"/>
                    <w:keepLines w:val="0"/>
                    <w:widowControl/>
                    <w:suppressLineNumbers w:val="0"/>
                  </w:pPr>
                  <w:r>
                    <w:rPr>
                      <w:sz w:val="20"/>
                      <w:szCs w:val="20"/>
                      <w:bdr w:val="none" w:color="auto" w:sz="0" w:space="0"/>
                    </w:rPr>
                    <w:t>50</w:t>
                  </w:r>
                </w:p>
              </w:tc>
              <w:tc>
                <w:tcPr>
                  <w:tcW w:w="1114"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top"/>
                </w:tcPr>
                <w:p>
                  <w:pPr>
                    <w:pStyle w:val="2"/>
                    <w:keepNext w:val="0"/>
                    <w:keepLines w:val="0"/>
                    <w:widowControl/>
                    <w:suppressLineNumbers w:val="0"/>
                  </w:pPr>
                  <w:r>
                    <w:rPr>
                      <w:sz w:val="20"/>
                      <w:szCs w:val="20"/>
                      <w:bdr w:val="none" w:color="auto" w:sz="0" w:space="0"/>
                    </w:rPr>
                    <w:t>70</w:t>
                  </w:r>
                </w:p>
              </w:tc>
            </w:tr>
            <w:tr>
              <w:tblPrEx>
                <w:tblBorders>
                  <w:top w:val="outset" w:color="DCDCDC" w:sz="6" w:space="0"/>
                  <w:left w:val="outset" w:color="DCDCDC" w:sz="6" w:space="0"/>
                  <w:bottom w:val="outset" w:color="DCDCDC" w:sz="6" w:space="0"/>
                  <w:right w:val="outset" w:color="DCDCDC" w:sz="6" w:space="0"/>
                  <w:insideH w:val="outset" w:color="DCDCDC" w:sz="6" w:space="0"/>
                  <w:insideV w:val="outset" w:color="DCDCDC" w:sz="6" w:space="0"/>
                </w:tblBorders>
                <w:shd w:val="clear" w:color="auto" w:fill="FFFFFF"/>
                <w:tblCellMar>
                  <w:top w:w="30" w:type="dxa"/>
                  <w:left w:w="30" w:type="dxa"/>
                  <w:bottom w:w="30" w:type="dxa"/>
                  <w:right w:w="30" w:type="dxa"/>
                </w:tblCellMar>
              </w:tblPrEx>
              <w:tc>
                <w:tcPr>
                  <w:tcW w:w="3367"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top"/>
                </w:tcPr>
                <w:p>
                  <w:pPr>
                    <w:pStyle w:val="2"/>
                    <w:keepNext w:val="0"/>
                    <w:keepLines w:val="0"/>
                    <w:widowControl/>
                    <w:suppressLineNumbers w:val="0"/>
                    <w:ind w:left="0" w:firstLine="420"/>
                  </w:pPr>
                  <w:r>
                    <w:rPr>
                      <w:rFonts w:hint="eastAsia" w:ascii="宋体" w:hAnsi="宋体" w:eastAsia="宋体" w:cs="宋体"/>
                      <w:sz w:val="20"/>
                      <w:szCs w:val="20"/>
                      <w:bdr w:val="none" w:color="auto" w:sz="0" w:space="0"/>
                    </w:rPr>
                    <w:t>其中：城市家庭普及率</w:t>
                  </w:r>
                </w:p>
              </w:tc>
              <w:tc>
                <w:tcPr>
                  <w:tcW w:w="1479"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top"/>
                </w:tcPr>
                <w:p>
                  <w:pPr>
                    <w:pStyle w:val="2"/>
                    <w:keepNext w:val="0"/>
                    <w:keepLines w:val="0"/>
                    <w:widowControl/>
                    <w:suppressLineNumbers w:val="0"/>
                  </w:pPr>
                  <w:r>
                    <w:rPr>
                      <w:sz w:val="20"/>
                      <w:szCs w:val="20"/>
                      <w:bdr w:val="none" w:color="auto" w:sz="0" w:space="0"/>
                    </w:rPr>
                    <w:t>%</w:t>
                  </w:r>
                </w:p>
              </w:tc>
              <w:tc>
                <w:tcPr>
                  <w:tcW w:w="1509"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top"/>
                </w:tcPr>
                <w:p>
                  <w:pPr>
                    <w:pStyle w:val="2"/>
                    <w:keepNext w:val="0"/>
                    <w:keepLines w:val="0"/>
                    <w:widowControl/>
                    <w:suppressLineNumbers w:val="0"/>
                  </w:pPr>
                  <w:r>
                    <w:rPr>
                      <w:sz w:val="20"/>
                      <w:szCs w:val="20"/>
                      <w:bdr w:val="none" w:color="auto" w:sz="0" w:space="0"/>
                    </w:rPr>
                    <w:t>55</w:t>
                  </w:r>
                </w:p>
              </w:tc>
              <w:tc>
                <w:tcPr>
                  <w:tcW w:w="1293" w:type="dxa"/>
                  <w:gridSpan w:val="2"/>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top"/>
                </w:tcPr>
                <w:p>
                  <w:pPr>
                    <w:pStyle w:val="2"/>
                    <w:keepNext w:val="0"/>
                    <w:keepLines w:val="0"/>
                    <w:widowControl/>
                    <w:suppressLineNumbers w:val="0"/>
                  </w:pPr>
                  <w:r>
                    <w:rPr>
                      <w:sz w:val="20"/>
                      <w:szCs w:val="20"/>
                      <w:bdr w:val="none" w:color="auto" w:sz="0" w:space="0"/>
                    </w:rPr>
                    <w:t>65</w:t>
                  </w:r>
                </w:p>
              </w:tc>
              <w:tc>
                <w:tcPr>
                  <w:tcW w:w="1114"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top"/>
                </w:tcPr>
                <w:p>
                  <w:pPr>
                    <w:pStyle w:val="2"/>
                    <w:keepNext w:val="0"/>
                    <w:keepLines w:val="0"/>
                    <w:widowControl/>
                    <w:suppressLineNumbers w:val="0"/>
                  </w:pPr>
                  <w:r>
                    <w:rPr>
                      <w:rFonts w:hint="eastAsia" w:ascii="宋体" w:hAnsi="宋体" w:eastAsia="宋体" w:cs="宋体"/>
                      <w:bdr w:val="none" w:color="auto" w:sz="0" w:space="0"/>
                    </w:rPr>
                    <w:t>——</w:t>
                  </w:r>
                </w:p>
              </w:tc>
            </w:tr>
            <w:tr>
              <w:tblPrEx>
                <w:tblBorders>
                  <w:top w:val="outset" w:color="DCDCDC" w:sz="6" w:space="0"/>
                  <w:left w:val="outset" w:color="DCDCDC" w:sz="6" w:space="0"/>
                  <w:bottom w:val="outset" w:color="DCDCDC" w:sz="6" w:space="0"/>
                  <w:right w:val="outset" w:color="DCDCDC" w:sz="6" w:space="0"/>
                  <w:insideH w:val="outset" w:color="DCDCDC" w:sz="6" w:space="0"/>
                  <w:insideV w:val="outset" w:color="DCDCDC" w:sz="6" w:space="0"/>
                </w:tblBorders>
                <w:shd w:val="clear" w:color="auto" w:fill="FFFFFF"/>
                <w:tblCellMar>
                  <w:top w:w="30" w:type="dxa"/>
                  <w:left w:w="30" w:type="dxa"/>
                  <w:bottom w:w="30" w:type="dxa"/>
                  <w:right w:w="30" w:type="dxa"/>
                </w:tblCellMar>
              </w:tblPrEx>
              <w:tc>
                <w:tcPr>
                  <w:tcW w:w="3367"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top"/>
                </w:tcPr>
                <w:p>
                  <w:pPr>
                    <w:pStyle w:val="2"/>
                    <w:keepNext w:val="0"/>
                    <w:keepLines w:val="0"/>
                    <w:widowControl/>
                    <w:suppressLineNumbers w:val="0"/>
                    <w:ind w:left="0" w:firstLine="1050"/>
                  </w:pPr>
                  <w:r>
                    <w:rPr>
                      <w:rFonts w:hint="eastAsia" w:ascii="宋体" w:hAnsi="宋体" w:eastAsia="宋体" w:cs="宋体"/>
                      <w:sz w:val="20"/>
                      <w:szCs w:val="20"/>
                      <w:bdr w:val="none" w:color="auto" w:sz="0" w:space="0"/>
                    </w:rPr>
                    <w:t>农村家庭普及率</w:t>
                  </w:r>
                </w:p>
              </w:tc>
              <w:tc>
                <w:tcPr>
                  <w:tcW w:w="1479"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top"/>
                </w:tcPr>
                <w:p>
                  <w:pPr>
                    <w:pStyle w:val="2"/>
                    <w:keepNext w:val="0"/>
                    <w:keepLines w:val="0"/>
                    <w:widowControl/>
                    <w:suppressLineNumbers w:val="0"/>
                  </w:pPr>
                  <w:r>
                    <w:rPr>
                      <w:sz w:val="20"/>
                      <w:szCs w:val="20"/>
                      <w:bdr w:val="none" w:color="auto" w:sz="0" w:space="0"/>
                    </w:rPr>
                    <w:t>%</w:t>
                  </w:r>
                </w:p>
              </w:tc>
              <w:tc>
                <w:tcPr>
                  <w:tcW w:w="1509"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top"/>
                </w:tcPr>
                <w:p>
                  <w:pPr>
                    <w:pStyle w:val="2"/>
                    <w:keepNext w:val="0"/>
                    <w:keepLines w:val="0"/>
                    <w:widowControl/>
                    <w:suppressLineNumbers w:val="0"/>
                  </w:pPr>
                  <w:r>
                    <w:rPr>
                      <w:sz w:val="20"/>
                      <w:szCs w:val="20"/>
                      <w:bdr w:val="none" w:color="auto" w:sz="0" w:space="0"/>
                    </w:rPr>
                    <w:t>20</w:t>
                  </w:r>
                </w:p>
              </w:tc>
              <w:tc>
                <w:tcPr>
                  <w:tcW w:w="1293" w:type="dxa"/>
                  <w:gridSpan w:val="2"/>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top"/>
                </w:tcPr>
                <w:p>
                  <w:pPr>
                    <w:pStyle w:val="2"/>
                    <w:keepNext w:val="0"/>
                    <w:keepLines w:val="0"/>
                    <w:widowControl/>
                    <w:suppressLineNumbers w:val="0"/>
                  </w:pPr>
                  <w:r>
                    <w:rPr>
                      <w:sz w:val="20"/>
                      <w:szCs w:val="20"/>
                      <w:bdr w:val="none" w:color="auto" w:sz="0" w:space="0"/>
                    </w:rPr>
                    <w:t>30</w:t>
                  </w:r>
                </w:p>
              </w:tc>
              <w:tc>
                <w:tcPr>
                  <w:tcW w:w="1114"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top"/>
                </w:tcPr>
                <w:p>
                  <w:pPr>
                    <w:pStyle w:val="2"/>
                    <w:keepNext w:val="0"/>
                    <w:keepLines w:val="0"/>
                    <w:widowControl/>
                    <w:suppressLineNumbers w:val="0"/>
                  </w:pPr>
                  <w:r>
                    <w:rPr>
                      <w:rFonts w:hint="eastAsia" w:ascii="宋体" w:hAnsi="宋体" w:eastAsia="宋体" w:cs="宋体"/>
                      <w:bdr w:val="none" w:color="auto" w:sz="0" w:space="0"/>
                    </w:rPr>
                    <w:t>——</w:t>
                  </w:r>
                </w:p>
              </w:tc>
            </w:tr>
            <w:tr>
              <w:tblPrEx>
                <w:tblBorders>
                  <w:top w:val="outset" w:color="DCDCDC" w:sz="6" w:space="0"/>
                  <w:left w:val="outset" w:color="DCDCDC" w:sz="6" w:space="0"/>
                  <w:bottom w:val="outset" w:color="DCDCDC" w:sz="6" w:space="0"/>
                  <w:right w:val="outset" w:color="DCDCDC" w:sz="6" w:space="0"/>
                  <w:insideH w:val="outset" w:color="DCDCDC" w:sz="6" w:space="0"/>
                  <w:insideV w:val="outset" w:color="DCDCDC" w:sz="6" w:space="0"/>
                </w:tblBorders>
                <w:shd w:val="clear" w:color="auto" w:fill="FFFFFF"/>
                <w:tblCellMar>
                  <w:top w:w="30" w:type="dxa"/>
                  <w:left w:w="30" w:type="dxa"/>
                  <w:bottom w:w="30" w:type="dxa"/>
                  <w:right w:w="30" w:type="dxa"/>
                </w:tblCellMar>
              </w:tblPrEx>
              <w:tc>
                <w:tcPr>
                  <w:tcW w:w="3367"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top"/>
                </w:tcPr>
                <w:p>
                  <w:pPr>
                    <w:pStyle w:val="2"/>
                    <w:keepNext w:val="0"/>
                    <w:keepLines w:val="0"/>
                    <w:widowControl/>
                    <w:suppressLineNumbers w:val="0"/>
                  </w:pPr>
                  <w:r>
                    <w:rPr>
                      <w:sz w:val="20"/>
                      <w:szCs w:val="20"/>
                      <w:bdr w:val="none" w:color="auto" w:sz="0" w:space="0"/>
                    </w:rPr>
                    <w:t>3G/LTE</w:t>
                  </w:r>
                  <w:r>
                    <w:rPr>
                      <w:rFonts w:hint="eastAsia" w:ascii="宋体" w:hAnsi="宋体" w:eastAsia="宋体" w:cs="宋体"/>
                      <w:sz w:val="20"/>
                      <w:szCs w:val="20"/>
                      <w:bdr w:val="none" w:color="auto" w:sz="0" w:space="0"/>
                    </w:rPr>
                    <w:t>用户普及率</w:t>
                  </w:r>
                </w:p>
              </w:tc>
              <w:tc>
                <w:tcPr>
                  <w:tcW w:w="1479"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top"/>
                </w:tcPr>
                <w:p>
                  <w:pPr>
                    <w:pStyle w:val="2"/>
                    <w:keepNext w:val="0"/>
                    <w:keepLines w:val="0"/>
                    <w:widowControl/>
                    <w:suppressLineNumbers w:val="0"/>
                  </w:pPr>
                  <w:r>
                    <w:rPr>
                      <w:sz w:val="20"/>
                      <w:szCs w:val="20"/>
                      <w:bdr w:val="none" w:color="auto" w:sz="0" w:space="0"/>
                    </w:rPr>
                    <w:t>%</w:t>
                  </w:r>
                </w:p>
              </w:tc>
              <w:tc>
                <w:tcPr>
                  <w:tcW w:w="1509"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top"/>
                </w:tcPr>
                <w:p>
                  <w:pPr>
                    <w:pStyle w:val="2"/>
                    <w:keepNext w:val="0"/>
                    <w:keepLines w:val="0"/>
                    <w:widowControl/>
                    <w:suppressLineNumbers w:val="0"/>
                  </w:pPr>
                  <w:r>
                    <w:rPr>
                      <w:sz w:val="20"/>
                      <w:szCs w:val="20"/>
                      <w:bdr w:val="none" w:color="auto" w:sz="0" w:space="0"/>
                    </w:rPr>
                    <w:t>25</w:t>
                  </w:r>
                </w:p>
              </w:tc>
              <w:tc>
                <w:tcPr>
                  <w:tcW w:w="1293" w:type="dxa"/>
                  <w:gridSpan w:val="2"/>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top"/>
                </w:tcPr>
                <w:p>
                  <w:pPr>
                    <w:pStyle w:val="2"/>
                    <w:keepNext w:val="0"/>
                    <w:keepLines w:val="0"/>
                    <w:widowControl/>
                    <w:suppressLineNumbers w:val="0"/>
                  </w:pPr>
                  <w:r>
                    <w:rPr>
                      <w:sz w:val="20"/>
                      <w:szCs w:val="20"/>
                      <w:bdr w:val="none" w:color="auto" w:sz="0" w:space="0"/>
                    </w:rPr>
                    <w:t>32</w:t>
                  </w:r>
                  <w:r>
                    <w:rPr>
                      <w:rFonts w:hint="eastAsia" w:ascii="宋体" w:hAnsi="宋体" w:eastAsia="宋体" w:cs="宋体"/>
                      <w:sz w:val="20"/>
                      <w:szCs w:val="20"/>
                      <w:bdr w:val="none" w:color="auto" w:sz="0" w:space="0"/>
                    </w:rPr>
                    <w:t>.</w:t>
                  </w:r>
                  <w:r>
                    <w:rPr>
                      <w:sz w:val="20"/>
                      <w:szCs w:val="20"/>
                      <w:bdr w:val="none" w:color="auto" w:sz="0" w:space="0"/>
                    </w:rPr>
                    <w:t>5</w:t>
                  </w:r>
                </w:p>
              </w:tc>
              <w:tc>
                <w:tcPr>
                  <w:tcW w:w="1114"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top"/>
                </w:tcPr>
                <w:p>
                  <w:pPr>
                    <w:pStyle w:val="2"/>
                    <w:keepNext w:val="0"/>
                    <w:keepLines w:val="0"/>
                    <w:widowControl/>
                    <w:suppressLineNumbers w:val="0"/>
                  </w:pPr>
                  <w:r>
                    <w:rPr>
                      <w:sz w:val="20"/>
                      <w:szCs w:val="20"/>
                      <w:bdr w:val="none" w:color="auto" w:sz="0" w:space="0"/>
                    </w:rPr>
                    <w:t>85</w:t>
                  </w:r>
                </w:p>
              </w:tc>
            </w:tr>
            <w:tr>
              <w:tblPrEx>
                <w:tblBorders>
                  <w:top w:val="outset" w:color="DCDCDC" w:sz="6" w:space="0"/>
                  <w:left w:val="outset" w:color="DCDCDC" w:sz="6" w:space="0"/>
                  <w:bottom w:val="outset" w:color="DCDCDC" w:sz="6" w:space="0"/>
                  <w:right w:val="outset" w:color="DCDCDC" w:sz="6" w:space="0"/>
                  <w:insideH w:val="outset" w:color="DCDCDC" w:sz="6" w:space="0"/>
                  <w:insideV w:val="outset" w:color="DCDCDC" w:sz="6" w:space="0"/>
                </w:tblBorders>
                <w:shd w:val="clear" w:color="auto" w:fill="FFFFFF"/>
                <w:tblCellMar>
                  <w:top w:w="30" w:type="dxa"/>
                  <w:left w:w="30" w:type="dxa"/>
                  <w:bottom w:w="30" w:type="dxa"/>
                  <w:right w:w="30" w:type="dxa"/>
                </w:tblCellMar>
              </w:tblPrEx>
              <w:tc>
                <w:tcPr>
                  <w:tcW w:w="8388" w:type="dxa"/>
                  <w:gridSpan w:val="6"/>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top"/>
                </w:tcPr>
                <w:p>
                  <w:pPr>
                    <w:pStyle w:val="2"/>
                    <w:keepNext w:val="0"/>
                    <w:keepLines w:val="0"/>
                    <w:widowControl/>
                    <w:suppressLineNumbers w:val="0"/>
                    <w:ind w:left="0" w:firstLine="2837"/>
                  </w:pPr>
                  <w:r>
                    <w:rPr>
                      <w:bdr w:val="none" w:color="auto" w:sz="0" w:space="0"/>
                    </w:rPr>
                    <w:t>     </w:t>
                  </w:r>
                  <w:r>
                    <w:rPr>
                      <w:sz w:val="20"/>
                      <w:szCs w:val="20"/>
                      <w:bdr w:val="none" w:color="auto" w:sz="0" w:space="0"/>
                    </w:rPr>
                    <w:t> 3.</w:t>
                  </w:r>
                  <w:r>
                    <w:rPr>
                      <w:rFonts w:hint="eastAsia" w:ascii="宋体" w:hAnsi="宋体" w:eastAsia="宋体" w:cs="宋体"/>
                      <w:sz w:val="20"/>
                      <w:szCs w:val="20"/>
                      <w:bdr w:val="none" w:color="auto" w:sz="0" w:space="0"/>
                    </w:rPr>
                    <w:t>宽带网络能力</w:t>
                  </w:r>
                </w:p>
              </w:tc>
            </w:tr>
            <w:tr>
              <w:tblPrEx>
                <w:tblBorders>
                  <w:top w:val="outset" w:color="DCDCDC" w:sz="6" w:space="0"/>
                  <w:left w:val="outset" w:color="DCDCDC" w:sz="6" w:space="0"/>
                  <w:bottom w:val="outset" w:color="DCDCDC" w:sz="6" w:space="0"/>
                  <w:right w:val="outset" w:color="DCDCDC" w:sz="6" w:space="0"/>
                  <w:insideH w:val="outset" w:color="DCDCDC" w:sz="6" w:space="0"/>
                  <w:insideV w:val="outset" w:color="DCDCDC" w:sz="6" w:space="0"/>
                </w:tblBorders>
                <w:shd w:val="clear" w:color="auto" w:fill="FFFFFF"/>
                <w:tblCellMar>
                  <w:top w:w="30" w:type="dxa"/>
                  <w:left w:w="30" w:type="dxa"/>
                  <w:bottom w:w="30" w:type="dxa"/>
                  <w:right w:w="30" w:type="dxa"/>
                </w:tblCellMar>
              </w:tblPrEx>
              <w:trPr>
                <w:trHeight w:val="226" w:hRule="atLeast"/>
              </w:trPr>
              <w:tc>
                <w:tcPr>
                  <w:tcW w:w="3367"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top"/>
                </w:tcPr>
                <w:p>
                  <w:pPr>
                    <w:pStyle w:val="2"/>
                    <w:keepNext w:val="0"/>
                    <w:keepLines w:val="0"/>
                    <w:widowControl/>
                    <w:suppressLineNumbers w:val="0"/>
                  </w:pPr>
                  <w:r>
                    <w:rPr>
                      <w:rFonts w:hint="eastAsia" w:ascii="宋体" w:hAnsi="宋体" w:eastAsia="宋体" w:cs="宋体"/>
                      <w:sz w:val="20"/>
                      <w:szCs w:val="20"/>
                      <w:bdr w:val="none" w:color="auto" w:sz="0" w:space="0"/>
                    </w:rPr>
                    <w:t>城市宽带接入能力</w:t>
                  </w:r>
                </w:p>
              </w:tc>
              <w:tc>
                <w:tcPr>
                  <w:tcW w:w="1479"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top"/>
                </w:tcPr>
                <w:p>
                  <w:pPr>
                    <w:pStyle w:val="2"/>
                    <w:keepNext w:val="0"/>
                    <w:keepLines w:val="0"/>
                    <w:widowControl/>
                    <w:suppressLineNumbers w:val="0"/>
                  </w:pPr>
                  <w:r>
                    <w:rPr>
                      <w:sz w:val="20"/>
                      <w:szCs w:val="20"/>
                      <w:bdr w:val="none" w:color="auto" w:sz="0" w:space="0"/>
                    </w:rPr>
                    <w:t>Mbps</w:t>
                  </w:r>
                </w:p>
              </w:tc>
              <w:tc>
                <w:tcPr>
                  <w:tcW w:w="1509"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top"/>
                </w:tcPr>
                <w:p>
                  <w:pPr>
                    <w:pStyle w:val="2"/>
                    <w:keepNext w:val="0"/>
                    <w:keepLines w:val="0"/>
                    <w:widowControl/>
                    <w:suppressLineNumbers w:val="0"/>
                  </w:pPr>
                  <w:r>
                    <w:rPr>
                      <w:sz w:val="20"/>
                      <w:szCs w:val="20"/>
                      <w:bdr w:val="none" w:color="auto" w:sz="0" w:space="0"/>
                    </w:rPr>
                    <w:t>20</w:t>
                  </w:r>
                  <w:r>
                    <w:rPr>
                      <w:rFonts w:hint="eastAsia" w:ascii="宋体" w:hAnsi="宋体" w:eastAsia="宋体" w:cs="宋体"/>
                      <w:sz w:val="20"/>
                      <w:szCs w:val="20"/>
                      <w:bdr w:val="none" w:color="auto" w:sz="0" w:space="0"/>
                    </w:rPr>
                    <w:t>（</w:t>
                  </w:r>
                  <w:r>
                    <w:rPr>
                      <w:sz w:val="20"/>
                      <w:szCs w:val="20"/>
                      <w:bdr w:val="none" w:color="auto" w:sz="0" w:space="0"/>
                    </w:rPr>
                    <w:t>80%</w:t>
                  </w:r>
                  <w:r>
                    <w:rPr>
                      <w:rFonts w:hint="eastAsia" w:ascii="宋体" w:hAnsi="宋体" w:eastAsia="宋体" w:cs="宋体"/>
                      <w:sz w:val="20"/>
                      <w:szCs w:val="20"/>
                      <w:bdr w:val="none" w:color="auto" w:sz="0" w:space="0"/>
                    </w:rPr>
                    <w:t>用户）</w:t>
                  </w:r>
                </w:p>
              </w:tc>
              <w:tc>
                <w:tcPr>
                  <w:tcW w:w="1293" w:type="dxa"/>
                  <w:gridSpan w:val="2"/>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top"/>
                </w:tcPr>
                <w:p>
                  <w:pPr>
                    <w:pStyle w:val="2"/>
                    <w:keepNext w:val="0"/>
                    <w:keepLines w:val="0"/>
                    <w:widowControl/>
                    <w:suppressLineNumbers w:val="0"/>
                  </w:pPr>
                  <w:r>
                    <w:rPr>
                      <w:sz w:val="20"/>
                      <w:szCs w:val="20"/>
                      <w:bdr w:val="none" w:color="auto" w:sz="0" w:space="0"/>
                    </w:rPr>
                    <w:t>20</w:t>
                  </w:r>
                </w:p>
              </w:tc>
              <w:tc>
                <w:tcPr>
                  <w:tcW w:w="1114"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top"/>
                </w:tcPr>
                <w:p>
                  <w:pPr>
                    <w:pStyle w:val="2"/>
                    <w:keepNext w:val="0"/>
                    <w:keepLines w:val="0"/>
                    <w:widowControl/>
                    <w:suppressLineNumbers w:val="0"/>
                  </w:pPr>
                  <w:r>
                    <w:rPr>
                      <w:sz w:val="20"/>
                      <w:szCs w:val="20"/>
                      <w:bdr w:val="none" w:color="auto" w:sz="0" w:space="0"/>
                    </w:rPr>
                    <w:t>50</w:t>
                  </w:r>
                </w:p>
              </w:tc>
            </w:tr>
            <w:tr>
              <w:tblPrEx>
                <w:tblBorders>
                  <w:top w:val="outset" w:color="DCDCDC" w:sz="6" w:space="0"/>
                  <w:left w:val="outset" w:color="DCDCDC" w:sz="6" w:space="0"/>
                  <w:bottom w:val="outset" w:color="DCDCDC" w:sz="6" w:space="0"/>
                  <w:right w:val="outset" w:color="DCDCDC" w:sz="6" w:space="0"/>
                  <w:insideH w:val="outset" w:color="DCDCDC" w:sz="6" w:space="0"/>
                  <w:insideV w:val="outset" w:color="DCDCDC" w:sz="6" w:space="0"/>
                </w:tblBorders>
                <w:shd w:val="clear" w:color="auto" w:fill="FFFFFF"/>
                <w:tblCellMar>
                  <w:top w:w="30" w:type="dxa"/>
                  <w:left w:w="30" w:type="dxa"/>
                  <w:bottom w:w="30" w:type="dxa"/>
                  <w:right w:w="30" w:type="dxa"/>
                </w:tblCellMar>
              </w:tblPrEx>
              <w:trPr>
                <w:trHeight w:val="450" w:hRule="atLeast"/>
              </w:trPr>
              <w:tc>
                <w:tcPr>
                  <w:tcW w:w="3367"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top"/>
                </w:tcPr>
                <w:p>
                  <w:pPr>
                    <w:pStyle w:val="2"/>
                    <w:keepNext w:val="0"/>
                    <w:keepLines w:val="0"/>
                    <w:widowControl/>
                    <w:suppressLineNumbers w:val="0"/>
                    <w:ind w:left="0" w:firstLine="420"/>
                  </w:pPr>
                  <w:r>
                    <w:rPr>
                      <w:rFonts w:hint="eastAsia" w:ascii="宋体" w:hAnsi="宋体" w:eastAsia="宋体" w:cs="宋体"/>
                      <w:sz w:val="20"/>
                      <w:szCs w:val="20"/>
                      <w:bdr w:val="none" w:color="auto" w:sz="0" w:space="0"/>
                    </w:rPr>
                    <w:t>其中：发达城市</w:t>
                  </w:r>
                </w:p>
              </w:tc>
              <w:tc>
                <w:tcPr>
                  <w:tcW w:w="1479"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top"/>
                </w:tcPr>
                <w:p>
                  <w:pPr>
                    <w:pStyle w:val="2"/>
                    <w:keepNext w:val="0"/>
                    <w:keepLines w:val="0"/>
                    <w:widowControl/>
                    <w:suppressLineNumbers w:val="0"/>
                  </w:pPr>
                  <w:r>
                    <w:rPr>
                      <w:sz w:val="20"/>
                      <w:szCs w:val="20"/>
                      <w:bdr w:val="none" w:color="auto" w:sz="0" w:space="0"/>
                    </w:rPr>
                    <w:t>Mbps</w:t>
                  </w:r>
                </w:p>
              </w:tc>
              <w:tc>
                <w:tcPr>
                  <w:tcW w:w="1509"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top"/>
                </w:tcPr>
                <w:p>
                  <w:pPr>
                    <w:pStyle w:val="2"/>
                    <w:keepNext w:val="0"/>
                    <w:keepLines w:val="0"/>
                    <w:widowControl/>
                    <w:suppressLineNumbers w:val="0"/>
                  </w:pPr>
                  <w:r>
                    <w:rPr>
                      <w:bdr w:val="none" w:color="auto" w:sz="0" w:space="0"/>
                    </w:rPr>
                    <w:t> </w:t>
                  </w:r>
                </w:p>
              </w:tc>
              <w:tc>
                <w:tcPr>
                  <w:tcW w:w="1293" w:type="dxa"/>
                  <w:gridSpan w:val="2"/>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top"/>
                </w:tcPr>
                <w:p>
                  <w:pPr>
                    <w:pStyle w:val="2"/>
                    <w:keepNext w:val="0"/>
                    <w:keepLines w:val="0"/>
                    <w:widowControl/>
                    <w:suppressLineNumbers w:val="0"/>
                  </w:pPr>
                  <w:r>
                    <w:rPr>
                      <w:sz w:val="20"/>
                      <w:szCs w:val="20"/>
                      <w:bdr w:val="none" w:color="auto" w:sz="0" w:space="0"/>
                    </w:rPr>
                    <w:t>100</w:t>
                  </w:r>
                  <w:r>
                    <w:rPr>
                      <w:rFonts w:hint="eastAsia" w:ascii="宋体" w:hAnsi="宋体" w:eastAsia="宋体" w:cs="宋体"/>
                      <w:sz w:val="20"/>
                      <w:szCs w:val="20"/>
                      <w:bdr w:val="none" w:color="auto" w:sz="0" w:space="0"/>
                    </w:rPr>
                    <w:t>（部分城市）</w:t>
                  </w:r>
                </w:p>
              </w:tc>
              <w:tc>
                <w:tcPr>
                  <w:tcW w:w="1114"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top"/>
                </w:tcPr>
                <w:p>
                  <w:pPr>
                    <w:pStyle w:val="2"/>
                    <w:keepNext w:val="0"/>
                    <w:keepLines w:val="0"/>
                    <w:widowControl/>
                    <w:suppressLineNumbers w:val="0"/>
                  </w:pPr>
                  <w:r>
                    <w:rPr>
                      <w:sz w:val="20"/>
                      <w:szCs w:val="20"/>
                      <w:bdr w:val="none" w:color="auto" w:sz="0" w:space="0"/>
                    </w:rPr>
                    <w:t>1000</w:t>
                  </w:r>
                  <w:r>
                    <w:rPr>
                      <w:rFonts w:hint="eastAsia" w:ascii="宋体" w:hAnsi="宋体" w:eastAsia="宋体" w:cs="宋体"/>
                      <w:sz w:val="20"/>
                      <w:szCs w:val="20"/>
                      <w:bdr w:val="none" w:color="auto" w:sz="0" w:space="0"/>
                    </w:rPr>
                    <w:t>（部分用户）</w:t>
                  </w:r>
                </w:p>
              </w:tc>
            </w:tr>
            <w:tr>
              <w:tblPrEx>
                <w:tblBorders>
                  <w:top w:val="outset" w:color="DCDCDC" w:sz="6" w:space="0"/>
                  <w:left w:val="outset" w:color="DCDCDC" w:sz="6" w:space="0"/>
                  <w:bottom w:val="outset" w:color="DCDCDC" w:sz="6" w:space="0"/>
                  <w:right w:val="outset" w:color="DCDCDC" w:sz="6" w:space="0"/>
                  <w:insideH w:val="outset" w:color="DCDCDC" w:sz="6" w:space="0"/>
                  <w:insideV w:val="outset" w:color="DCDCDC" w:sz="6" w:space="0"/>
                </w:tblBorders>
                <w:shd w:val="clear" w:color="auto" w:fill="FFFFFF"/>
                <w:tblCellMar>
                  <w:top w:w="30" w:type="dxa"/>
                  <w:left w:w="30" w:type="dxa"/>
                  <w:bottom w:w="30" w:type="dxa"/>
                  <w:right w:w="30" w:type="dxa"/>
                </w:tblCellMar>
              </w:tblPrEx>
              <w:tc>
                <w:tcPr>
                  <w:tcW w:w="3367"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top"/>
                </w:tcPr>
                <w:p>
                  <w:pPr>
                    <w:pStyle w:val="2"/>
                    <w:keepNext w:val="0"/>
                    <w:keepLines w:val="0"/>
                    <w:widowControl/>
                    <w:suppressLineNumbers w:val="0"/>
                  </w:pPr>
                  <w:r>
                    <w:rPr>
                      <w:rFonts w:hint="eastAsia" w:ascii="宋体" w:hAnsi="宋体" w:eastAsia="宋体" w:cs="宋体"/>
                      <w:sz w:val="20"/>
                      <w:szCs w:val="20"/>
                      <w:bdr w:val="none" w:color="auto" w:sz="0" w:space="0"/>
                    </w:rPr>
                    <w:t>农村宽带接入能力</w:t>
                  </w:r>
                </w:p>
              </w:tc>
              <w:tc>
                <w:tcPr>
                  <w:tcW w:w="1479"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top"/>
                </w:tcPr>
                <w:p>
                  <w:pPr>
                    <w:pStyle w:val="2"/>
                    <w:keepNext w:val="0"/>
                    <w:keepLines w:val="0"/>
                    <w:widowControl/>
                    <w:suppressLineNumbers w:val="0"/>
                  </w:pPr>
                  <w:r>
                    <w:rPr>
                      <w:sz w:val="20"/>
                      <w:szCs w:val="20"/>
                      <w:bdr w:val="none" w:color="auto" w:sz="0" w:space="0"/>
                    </w:rPr>
                    <w:t>Mbps</w:t>
                  </w:r>
                </w:p>
              </w:tc>
              <w:tc>
                <w:tcPr>
                  <w:tcW w:w="1509"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top"/>
                </w:tcPr>
                <w:p>
                  <w:pPr>
                    <w:pStyle w:val="2"/>
                    <w:keepNext w:val="0"/>
                    <w:keepLines w:val="0"/>
                    <w:widowControl/>
                    <w:suppressLineNumbers w:val="0"/>
                  </w:pPr>
                  <w:r>
                    <w:rPr>
                      <w:sz w:val="20"/>
                      <w:szCs w:val="20"/>
                      <w:bdr w:val="none" w:color="auto" w:sz="0" w:space="0"/>
                    </w:rPr>
                    <w:t>4</w:t>
                  </w:r>
                  <w:r>
                    <w:rPr>
                      <w:rFonts w:hint="eastAsia" w:ascii="宋体" w:hAnsi="宋体" w:eastAsia="宋体" w:cs="宋体"/>
                      <w:sz w:val="20"/>
                      <w:szCs w:val="20"/>
                      <w:bdr w:val="none" w:color="auto" w:sz="0" w:space="0"/>
                    </w:rPr>
                    <w:t>（</w:t>
                  </w:r>
                  <w:r>
                    <w:rPr>
                      <w:sz w:val="20"/>
                      <w:szCs w:val="20"/>
                      <w:bdr w:val="none" w:color="auto" w:sz="0" w:space="0"/>
                    </w:rPr>
                    <w:t>85%</w:t>
                  </w:r>
                  <w:r>
                    <w:rPr>
                      <w:rFonts w:hint="eastAsia" w:ascii="宋体" w:hAnsi="宋体" w:eastAsia="宋体" w:cs="宋体"/>
                      <w:sz w:val="20"/>
                      <w:szCs w:val="20"/>
                      <w:bdr w:val="none" w:color="auto" w:sz="0" w:space="0"/>
                    </w:rPr>
                    <w:t>用户）</w:t>
                  </w:r>
                </w:p>
              </w:tc>
              <w:tc>
                <w:tcPr>
                  <w:tcW w:w="1293" w:type="dxa"/>
                  <w:gridSpan w:val="2"/>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top"/>
                </w:tcPr>
                <w:p>
                  <w:pPr>
                    <w:pStyle w:val="2"/>
                    <w:keepNext w:val="0"/>
                    <w:keepLines w:val="0"/>
                    <w:widowControl/>
                    <w:suppressLineNumbers w:val="0"/>
                  </w:pPr>
                  <w:r>
                    <w:rPr>
                      <w:sz w:val="20"/>
                      <w:szCs w:val="20"/>
                      <w:bdr w:val="none" w:color="auto" w:sz="0" w:space="0"/>
                    </w:rPr>
                    <w:t>4</w:t>
                  </w:r>
                </w:p>
              </w:tc>
              <w:tc>
                <w:tcPr>
                  <w:tcW w:w="1114"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top"/>
                </w:tcPr>
                <w:p>
                  <w:pPr>
                    <w:pStyle w:val="2"/>
                    <w:keepNext w:val="0"/>
                    <w:keepLines w:val="0"/>
                    <w:widowControl/>
                    <w:suppressLineNumbers w:val="0"/>
                  </w:pPr>
                  <w:r>
                    <w:rPr>
                      <w:sz w:val="20"/>
                      <w:szCs w:val="20"/>
                      <w:bdr w:val="none" w:color="auto" w:sz="0" w:space="0"/>
                    </w:rPr>
                    <w:t>12</w:t>
                  </w:r>
                </w:p>
              </w:tc>
            </w:tr>
            <w:tr>
              <w:tblPrEx>
                <w:tblBorders>
                  <w:top w:val="outset" w:color="DCDCDC" w:sz="6" w:space="0"/>
                  <w:left w:val="outset" w:color="DCDCDC" w:sz="6" w:space="0"/>
                  <w:bottom w:val="outset" w:color="DCDCDC" w:sz="6" w:space="0"/>
                  <w:right w:val="outset" w:color="DCDCDC" w:sz="6" w:space="0"/>
                  <w:insideH w:val="outset" w:color="DCDCDC" w:sz="6" w:space="0"/>
                  <w:insideV w:val="outset" w:color="DCDCDC" w:sz="6" w:space="0"/>
                </w:tblBorders>
                <w:shd w:val="clear" w:color="auto" w:fill="FFFFFF"/>
                <w:tblCellMar>
                  <w:top w:w="30" w:type="dxa"/>
                  <w:left w:w="30" w:type="dxa"/>
                  <w:bottom w:w="30" w:type="dxa"/>
                  <w:right w:w="30" w:type="dxa"/>
                </w:tblCellMar>
              </w:tblPrEx>
              <w:tc>
                <w:tcPr>
                  <w:tcW w:w="3367"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top"/>
                </w:tcPr>
                <w:p>
                  <w:pPr>
                    <w:pStyle w:val="2"/>
                    <w:keepNext w:val="0"/>
                    <w:keepLines w:val="0"/>
                    <w:widowControl/>
                    <w:suppressLineNumbers w:val="0"/>
                  </w:pPr>
                  <w:r>
                    <w:rPr>
                      <w:rFonts w:hint="eastAsia" w:ascii="宋体" w:hAnsi="宋体" w:eastAsia="宋体" w:cs="宋体"/>
                      <w:sz w:val="20"/>
                      <w:szCs w:val="20"/>
                      <w:bdr w:val="none" w:color="auto" w:sz="0" w:space="0"/>
                    </w:rPr>
                    <w:t>大型企事业单位接入带宽</w:t>
                  </w:r>
                </w:p>
              </w:tc>
              <w:tc>
                <w:tcPr>
                  <w:tcW w:w="1479"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top"/>
                </w:tcPr>
                <w:p>
                  <w:pPr>
                    <w:pStyle w:val="2"/>
                    <w:keepNext w:val="0"/>
                    <w:keepLines w:val="0"/>
                    <w:widowControl/>
                    <w:suppressLineNumbers w:val="0"/>
                  </w:pPr>
                  <w:r>
                    <w:rPr>
                      <w:sz w:val="20"/>
                      <w:szCs w:val="20"/>
                      <w:bdr w:val="none" w:color="auto" w:sz="0" w:space="0"/>
                    </w:rPr>
                    <w:t>Mbps</w:t>
                  </w:r>
                </w:p>
              </w:tc>
              <w:tc>
                <w:tcPr>
                  <w:tcW w:w="1509"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top"/>
                </w:tcPr>
                <w:p>
                  <w:pPr>
                    <w:pStyle w:val="2"/>
                    <w:keepNext w:val="0"/>
                    <w:keepLines w:val="0"/>
                    <w:widowControl/>
                    <w:suppressLineNumbers w:val="0"/>
                  </w:pPr>
                  <w:r>
                    <w:rPr>
                      <w:bdr w:val="none" w:color="auto" w:sz="0" w:space="0"/>
                    </w:rPr>
                    <w:t> </w:t>
                  </w:r>
                </w:p>
              </w:tc>
              <w:tc>
                <w:tcPr>
                  <w:tcW w:w="1293" w:type="dxa"/>
                  <w:gridSpan w:val="2"/>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pStyle w:val="2"/>
                    <w:keepNext w:val="0"/>
                    <w:keepLines w:val="0"/>
                    <w:widowControl/>
                    <w:suppressLineNumbers w:val="0"/>
                  </w:pPr>
                  <w:r>
                    <w:rPr>
                      <w:rFonts w:hint="eastAsia" w:ascii="宋体" w:hAnsi="宋体" w:eastAsia="宋体" w:cs="宋体"/>
                      <w:sz w:val="20"/>
                      <w:szCs w:val="20"/>
                      <w:bdr w:val="none" w:color="auto" w:sz="0" w:space="0"/>
                    </w:rPr>
                    <w:t>大于</w:t>
                  </w:r>
                  <w:r>
                    <w:rPr>
                      <w:sz w:val="20"/>
                      <w:szCs w:val="20"/>
                      <w:bdr w:val="none" w:color="auto" w:sz="0" w:space="0"/>
                    </w:rPr>
                    <w:t>100</w:t>
                  </w:r>
                  <w:r>
                    <w:rPr>
                      <w:bdr w:val="none" w:color="auto" w:sz="0" w:space="0"/>
                    </w:rPr>
                    <w:t>  </w:t>
                  </w:r>
                </w:p>
              </w:tc>
              <w:tc>
                <w:tcPr>
                  <w:tcW w:w="1114"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bottom"/>
                </w:tcPr>
                <w:p>
                  <w:pPr>
                    <w:pStyle w:val="2"/>
                    <w:keepNext w:val="0"/>
                    <w:keepLines w:val="0"/>
                    <w:widowControl/>
                    <w:suppressLineNumbers w:val="0"/>
                  </w:pPr>
                  <w:r>
                    <w:rPr>
                      <w:rFonts w:hint="eastAsia" w:ascii="宋体" w:hAnsi="宋体" w:eastAsia="宋体" w:cs="宋体"/>
                      <w:sz w:val="20"/>
                      <w:szCs w:val="20"/>
                      <w:bdr w:val="none" w:color="auto" w:sz="0" w:space="0"/>
                    </w:rPr>
                    <w:t>大于1000</w:t>
                  </w:r>
                </w:p>
              </w:tc>
            </w:tr>
            <w:tr>
              <w:tblPrEx>
                <w:tblBorders>
                  <w:top w:val="outset" w:color="DCDCDC" w:sz="6" w:space="0"/>
                  <w:left w:val="outset" w:color="DCDCDC" w:sz="6" w:space="0"/>
                  <w:bottom w:val="outset" w:color="DCDCDC" w:sz="6" w:space="0"/>
                  <w:right w:val="outset" w:color="DCDCDC" w:sz="6" w:space="0"/>
                  <w:insideH w:val="outset" w:color="DCDCDC" w:sz="6" w:space="0"/>
                  <w:insideV w:val="outset" w:color="DCDCDC" w:sz="6" w:space="0"/>
                </w:tblBorders>
                <w:shd w:val="clear" w:color="auto" w:fill="FFFFFF"/>
                <w:tblCellMar>
                  <w:top w:w="30" w:type="dxa"/>
                  <w:left w:w="30" w:type="dxa"/>
                  <w:bottom w:w="30" w:type="dxa"/>
                  <w:right w:w="30" w:type="dxa"/>
                </w:tblCellMar>
              </w:tblPrEx>
              <w:tc>
                <w:tcPr>
                  <w:tcW w:w="3367"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top"/>
                </w:tcPr>
                <w:p>
                  <w:pPr>
                    <w:pStyle w:val="2"/>
                    <w:keepNext w:val="0"/>
                    <w:keepLines w:val="0"/>
                    <w:widowControl/>
                    <w:suppressLineNumbers w:val="0"/>
                  </w:pPr>
                  <w:r>
                    <w:rPr>
                      <w:rFonts w:hint="eastAsia" w:ascii="宋体" w:hAnsi="宋体" w:eastAsia="宋体" w:cs="宋体"/>
                      <w:sz w:val="20"/>
                      <w:szCs w:val="20"/>
                      <w:bdr w:val="none" w:color="auto" w:sz="0" w:space="0"/>
                    </w:rPr>
                    <w:t>互联网国际出口带宽</w:t>
                  </w:r>
                </w:p>
              </w:tc>
              <w:tc>
                <w:tcPr>
                  <w:tcW w:w="1479"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top"/>
                </w:tcPr>
                <w:p>
                  <w:pPr>
                    <w:pStyle w:val="2"/>
                    <w:keepNext w:val="0"/>
                    <w:keepLines w:val="0"/>
                    <w:widowControl/>
                    <w:suppressLineNumbers w:val="0"/>
                  </w:pPr>
                  <w:r>
                    <w:rPr>
                      <w:sz w:val="20"/>
                      <w:szCs w:val="20"/>
                      <w:bdr w:val="none" w:color="auto" w:sz="0" w:space="0"/>
                    </w:rPr>
                    <w:t>Gbps</w:t>
                  </w:r>
                </w:p>
              </w:tc>
              <w:tc>
                <w:tcPr>
                  <w:tcW w:w="1509"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top"/>
                </w:tcPr>
                <w:p>
                  <w:pPr>
                    <w:pStyle w:val="2"/>
                    <w:keepNext w:val="0"/>
                    <w:keepLines w:val="0"/>
                    <w:widowControl/>
                    <w:suppressLineNumbers w:val="0"/>
                  </w:pPr>
                  <w:r>
                    <w:rPr>
                      <w:sz w:val="20"/>
                      <w:szCs w:val="20"/>
                      <w:bdr w:val="none" w:color="auto" w:sz="0" w:space="0"/>
                    </w:rPr>
                    <w:t>2500</w:t>
                  </w:r>
                </w:p>
              </w:tc>
              <w:tc>
                <w:tcPr>
                  <w:tcW w:w="1293" w:type="dxa"/>
                  <w:gridSpan w:val="2"/>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top"/>
                </w:tcPr>
                <w:p>
                  <w:pPr>
                    <w:pStyle w:val="2"/>
                    <w:keepNext w:val="0"/>
                    <w:keepLines w:val="0"/>
                    <w:widowControl/>
                    <w:suppressLineNumbers w:val="0"/>
                  </w:pPr>
                  <w:r>
                    <w:rPr>
                      <w:sz w:val="20"/>
                      <w:szCs w:val="20"/>
                      <w:bdr w:val="none" w:color="auto" w:sz="0" w:space="0"/>
                    </w:rPr>
                    <w:t>6500</w:t>
                  </w:r>
                </w:p>
              </w:tc>
              <w:tc>
                <w:tcPr>
                  <w:tcW w:w="1114"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top"/>
                </w:tcPr>
                <w:p>
                  <w:pPr>
                    <w:pStyle w:val="2"/>
                    <w:keepNext w:val="0"/>
                    <w:keepLines w:val="0"/>
                    <w:widowControl/>
                    <w:suppressLineNumbers w:val="0"/>
                  </w:pPr>
                  <w:r>
                    <w:rPr>
                      <w:rFonts w:hint="eastAsia" w:ascii="宋体" w:hAnsi="宋体" w:eastAsia="宋体" w:cs="宋体"/>
                      <w:bdr w:val="none" w:color="auto" w:sz="0" w:space="0"/>
                    </w:rPr>
                    <w:t>——</w:t>
                  </w:r>
                </w:p>
              </w:tc>
            </w:tr>
            <w:tr>
              <w:tblPrEx>
                <w:tblBorders>
                  <w:top w:val="outset" w:color="DCDCDC" w:sz="6" w:space="0"/>
                  <w:left w:val="outset" w:color="DCDCDC" w:sz="6" w:space="0"/>
                  <w:bottom w:val="outset" w:color="DCDCDC" w:sz="6" w:space="0"/>
                  <w:right w:val="outset" w:color="DCDCDC" w:sz="6" w:space="0"/>
                  <w:insideH w:val="outset" w:color="DCDCDC" w:sz="6" w:space="0"/>
                  <w:insideV w:val="outset" w:color="DCDCDC" w:sz="6" w:space="0"/>
                </w:tblBorders>
                <w:shd w:val="clear" w:color="auto" w:fill="FFFFFF"/>
                <w:tblCellMar>
                  <w:top w:w="30" w:type="dxa"/>
                  <w:left w:w="30" w:type="dxa"/>
                  <w:bottom w:w="30" w:type="dxa"/>
                  <w:right w:w="30" w:type="dxa"/>
                </w:tblCellMar>
              </w:tblPrEx>
              <w:trPr>
                <w:trHeight w:val="226" w:hRule="atLeast"/>
              </w:trPr>
              <w:tc>
                <w:tcPr>
                  <w:tcW w:w="3367"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top"/>
                </w:tcPr>
                <w:p>
                  <w:pPr>
                    <w:pStyle w:val="2"/>
                    <w:keepNext w:val="0"/>
                    <w:keepLines w:val="0"/>
                    <w:widowControl/>
                    <w:suppressLineNumbers w:val="0"/>
                  </w:pPr>
                  <w:r>
                    <w:rPr>
                      <w:sz w:val="20"/>
                      <w:szCs w:val="20"/>
                      <w:bdr w:val="none" w:color="auto" w:sz="0" w:space="0"/>
                    </w:rPr>
                    <w:t>FTTH</w:t>
                  </w:r>
                  <w:r>
                    <w:rPr>
                      <w:rFonts w:hint="eastAsia" w:ascii="宋体" w:hAnsi="宋体" w:eastAsia="宋体" w:cs="宋体"/>
                      <w:sz w:val="20"/>
                      <w:szCs w:val="20"/>
                      <w:bdr w:val="none" w:color="auto" w:sz="0" w:space="0"/>
                    </w:rPr>
                    <w:t>覆盖家庭</w:t>
                  </w:r>
                </w:p>
              </w:tc>
              <w:tc>
                <w:tcPr>
                  <w:tcW w:w="1479"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top"/>
                </w:tcPr>
                <w:p>
                  <w:pPr>
                    <w:pStyle w:val="2"/>
                    <w:keepNext w:val="0"/>
                    <w:keepLines w:val="0"/>
                    <w:widowControl/>
                    <w:suppressLineNumbers w:val="0"/>
                  </w:pPr>
                  <w:r>
                    <w:rPr>
                      <w:rFonts w:hint="eastAsia" w:ascii="宋体" w:hAnsi="宋体" w:eastAsia="宋体" w:cs="宋体"/>
                      <w:sz w:val="20"/>
                      <w:szCs w:val="20"/>
                      <w:bdr w:val="none" w:color="auto" w:sz="0" w:space="0"/>
                    </w:rPr>
                    <w:t>亿个</w:t>
                  </w:r>
                </w:p>
              </w:tc>
              <w:tc>
                <w:tcPr>
                  <w:tcW w:w="1509"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top"/>
                </w:tcPr>
                <w:p>
                  <w:pPr>
                    <w:pStyle w:val="2"/>
                    <w:keepNext w:val="0"/>
                    <w:keepLines w:val="0"/>
                    <w:widowControl/>
                    <w:suppressLineNumbers w:val="0"/>
                  </w:pPr>
                  <w:r>
                    <w:rPr>
                      <w:sz w:val="20"/>
                      <w:szCs w:val="20"/>
                      <w:bdr w:val="none" w:color="auto" w:sz="0" w:space="0"/>
                    </w:rPr>
                    <w:t>1</w:t>
                  </w:r>
                  <w:r>
                    <w:rPr>
                      <w:rFonts w:hint="eastAsia" w:ascii="宋体" w:hAnsi="宋体" w:eastAsia="宋体" w:cs="宋体"/>
                      <w:sz w:val="20"/>
                      <w:szCs w:val="20"/>
                      <w:bdr w:val="none" w:color="auto" w:sz="0" w:space="0"/>
                    </w:rPr>
                    <w:t>.</w:t>
                  </w:r>
                  <w:r>
                    <w:rPr>
                      <w:sz w:val="20"/>
                      <w:szCs w:val="20"/>
                      <w:bdr w:val="none" w:color="auto" w:sz="0" w:space="0"/>
                    </w:rPr>
                    <w:t>3</w:t>
                  </w:r>
                </w:p>
              </w:tc>
              <w:tc>
                <w:tcPr>
                  <w:tcW w:w="1293" w:type="dxa"/>
                  <w:gridSpan w:val="2"/>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top"/>
                </w:tcPr>
                <w:p>
                  <w:pPr>
                    <w:pStyle w:val="2"/>
                    <w:keepNext w:val="0"/>
                    <w:keepLines w:val="0"/>
                    <w:widowControl/>
                    <w:suppressLineNumbers w:val="0"/>
                  </w:pPr>
                  <w:r>
                    <w:rPr>
                      <w:sz w:val="20"/>
                      <w:szCs w:val="20"/>
                      <w:bdr w:val="none" w:color="auto" w:sz="0" w:space="0"/>
                    </w:rPr>
                    <w:t>2</w:t>
                  </w:r>
                  <w:r>
                    <w:rPr>
                      <w:rFonts w:hint="eastAsia" w:ascii="宋体" w:hAnsi="宋体" w:eastAsia="宋体" w:cs="宋体"/>
                      <w:sz w:val="20"/>
                      <w:szCs w:val="20"/>
                      <w:bdr w:val="none" w:color="auto" w:sz="0" w:space="0"/>
                    </w:rPr>
                    <w:t>.</w:t>
                  </w:r>
                  <w:r>
                    <w:rPr>
                      <w:sz w:val="20"/>
                      <w:szCs w:val="20"/>
                      <w:bdr w:val="none" w:color="auto" w:sz="0" w:space="0"/>
                    </w:rPr>
                    <w:t>0</w:t>
                  </w:r>
                </w:p>
              </w:tc>
              <w:tc>
                <w:tcPr>
                  <w:tcW w:w="1114"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top"/>
                </w:tcPr>
                <w:p>
                  <w:pPr>
                    <w:pStyle w:val="2"/>
                    <w:keepNext w:val="0"/>
                    <w:keepLines w:val="0"/>
                    <w:widowControl/>
                    <w:suppressLineNumbers w:val="0"/>
                  </w:pPr>
                  <w:r>
                    <w:rPr>
                      <w:sz w:val="20"/>
                      <w:szCs w:val="20"/>
                      <w:bdr w:val="none" w:color="auto" w:sz="0" w:space="0"/>
                    </w:rPr>
                    <w:t>3</w:t>
                  </w:r>
                  <w:r>
                    <w:rPr>
                      <w:rFonts w:hint="eastAsia" w:ascii="宋体" w:hAnsi="宋体" w:eastAsia="宋体" w:cs="宋体"/>
                      <w:sz w:val="20"/>
                      <w:szCs w:val="20"/>
                      <w:bdr w:val="none" w:color="auto" w:sz="0" w:space="0"/>
                    </w:rPr>
                    <w:t>.</w:t>
                  </w:r>
                  <w:r>
                    <w:rPr>
                      <w:sz w:val="20"/>
                      <w:szCs w:val="20"/>
                      <w:bdr w:val="none" w:color="auto" w:sz="0" w:space="0"/>
                    </w:rPr>
                    <w:t>0</w:t>
                  </w:r>
                </w:p>
              </w:tc>
            </w:tr>
            <w:tr>
              <w:tblPrEx>
                <w:tblBorders>
                  <w:top w:val="outset" w:color="DCDCDC" w:sz="6" w:space="0"/>
                  <w:left w:val="outset" w:color="DCDCDC" w:sz="6" w:space="0"/>
                  <w:bottom w:val="outset" w:color="DCDCDC" w:sz="6" w:space="0"/>
                  <w:right w:val="outset" w:color="DCDCDC" w:sz="6" w:space="0"/>
                  <w:insideH w:val="outset" w:color="DCDCDC" w:sz="6" w:space="0"/>
                  <w:insideV w:val="outset" w:color="DCDCDC" w:sz="6" w:space="0"/>
                </w:tblBorders>
                <w:shd w:val="clear" w:color="auto" w:fill="FFFFFF"/>
                <w:tblCellMar>
                  <w:top w:w="30" w:type="dxa"/>
                  <w:left w:w="30" w:type="dxa"/>
                  <w:bottom w:w="30" w:type="dxa"/>
                  <w:right w:w="30" w:type="dxa"/>
                </w:tblCellMar>
              </w:tblPrEx>
              <w:trPr>
                <w:trHeight w:val="271" w:hRule="atLeast"/>
              </w:trPr>
              <w:tc>
                <w:tcPr>
                  <w:tcW w:w="3367"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top"/>
                </w:tcPr>
                <w:p>
                  <w:pPr>
                    <w:pStyle w:val="2"/>
                    <w:keepNext w:val="0"/>
                    <w:keepLines w:val="0"/>
                    <w:widowControl/>
                    <w:suppressLineNumbers w:val="0"/>
                  </w:pPr>
                  <w:r>
                    <w:rPr>
                      <w:sz w:val="20"/>
                      <w:szCs w:val="20"/>
                      <w:bdr w:val="none" w:color="auto" w:sz="0" w:space="0"/>
                    </w:rPr>
                    <w:t>3G/LTE</w:t>
                  </w:r>
                  <w:r>
                    <w:rPr>
                      <w:rFonts w:hint="eastAsia" w:ascii="宋体" w:hAnsi="宋体" w:eastAsia="宋体" w:cs="宋体"/>
                      <w:sz w:val="20"/>
                      <w:szCs w:val="20"/>
                      <w:bdr w:val="none" w:color="auto" w:sz="0" w:space="0"/>
                    </w:rPr>
                    <w:t>基站规模</w:t>
                  </w:r>
                </w:p>
              </w:tc>
              <w:tc>
                <w:tcPr>
                  <w:tcW w:w="1479"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top"/>
                </w:tcPr>
                <w:p>
                  <w:pPr>
                    <w:pStyle w:val="2"/>
                    <w:keepNext w:val="0"/>
                    <w:keepLines w:val="0"/>
                    <w:widowControl/>
                    <w:suppressLineNumbers w:val="0"/>
                  </w:pPr>
                  <w:r>
                    <w:rPr>
                      <w:rFonts w:hint="eastAsia" w:ascii="宋体" w:hAnsi="宋体" w:eastAsia="宋体" w:cs="宋体"/>
                      <w:sz w:val="20"/>
                      <w:szCs w:val="20"/>
                      <w:bdr w:val="none" w:color="auto" w:sz="0" w:space="0"/>
                    </w:rPr>
                    <w:t>万个</w:t>
                  </w:r>
                </w:p>
              </w:tc>
              <w:tc>
                <w:tcPr>
                  <w:tcW w:w="1509"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top"/>
                </w:tcPr>
                <w:p>
                  <w:pPr>
                    <w:pStyle w:val="2"/>
                    <w:keepNext w:val="0"/>
                    <w:keepLines w:val="0"/>
                    <w:widowControl/>
                    <w:suppressLineNumbers w:val="0"/>
                  </w:pPr>
                  <w:r>
                    <w:rPr>
                      <w:sz w:val="20"/>
                      <w:szCs w:val="20"/>
                      <w:bdr w:val="none" w:color="auto" w:sz="0" w:space="0"/>
                    </w:rPr>
                    <w:t>95</w:t>
                  </w:r>
                </w:p>
              </w:tc>
              <w:tc>
                <w:tcPr>
                  <w:tcW w:w="1293" w:type="dxa"/>
                  <w:gridSpan w:val="2"/>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top"/>
                </w:tcPr>
                <w:p>
                  <w:pPr>
                    <w:pStyle w:val="2"/>
                    <w:keepNext w:val="0"/>
                    <w:keepLines w:val="0"/>
                    <w:widowControl/>
                    <w:suppressLineNumbers w:val="0"/>
                  </w:pPr>
                  <w:r>
                    <w:rPr>
                      <w:sz w:val="20"/>
                      <w:szCs w:val="20"/>
                      <w:bdr w:val="none" w:color="auto" w:sz="0" w:space="0"/>
                    </w:rPr>
                    <w:t>120</w:t>
                  </w:r>
                </w:p>
              </w:tc>
              <w:tc>
                <w:tcPr>
                  <w:tcW w:w="1114"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top"/>
                </w:tcPr>
                <w:p>
                  <w:pPr>
                    <w:pStyle w:val="2"/>
                    <w:keepNext w:val="0"/>
                    <w:keepLines w:val="0"/>
                    <w:widowControl/>
                    <w:suppressLineNumbers w:val="0"/>
                  </w:pPr>
                  <w:r>
                    <w:rPr>
                      <w:rFonts w:hint="eastAsia" w:ascii="宋体" w:hAnsi="宋体" w:eastAsia="宋体" w:cs="宋体"/>
                      <w:bdr w:val="none" w:color="auto" w:sz="0" w:space="0"/>
                    </w:rPr>
                    <w:t>——</w:t>
                  </w:r>
                </w:p>
              </w:tc>
            </w:tr>
            <w:tr>
              <w:tblPrEx>
                <w:tblBorders>
                  <w:top w:val="outset" w:color="DCDCDC" w:sz="6" w:space="0"/>
                  <w:left w:val="outset" w:color="DCDCDC" w:sz="6" w:space="0"/>
                  <w:bottom w:val="outset" w:color="DCDCDC" w:sz="6" w:space="0"/>
                  <w:right w:val="outset" w:color="DCDCDC" w:sz="6" w:space="0"/>
                  <w:insideH w:val="outset" w:color="DCDCDC" w:sz="6" w:space="0"/>
                  <w:insideV w:val="outset" w:color="DCDCDC" w:sz="6" w:space="0"/>
                </w:tblBorders>
                <w:shd w:val="clear" w:color="auto" w:fill="FFFFFF"/>
                <w:tblCellMar>
                  <w:top w:w="30" w:type="dxa"/>
                  <w:left w:w="30" w:type="dxa"/>
                  <w:bottom w:w="30" w:type="dxa"/>
                  <w:right w:w="30" w:type="dxa"/>
                </w:tblCellMar>
              </w:tblPrEx>
              <w:tc>
                <w:tcPr>
                  <w:tcW w:w="3367"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top"/>
                </w:tcPr>
                <w:p>
                  <w:pPr>
                    <w:pStyle w:val="2"/>
                    <w:keepNext w:val="0"/>
                    <w:keepLines w:val="0"/>
                    <w:widowControl/>
                    <w:suppressLineNumbers w:val="0"/>
                  </w:pPr>
                  <w:r>
                    <w:rPr>
                      <w:rFonts w:hint="eastAsia" w:ascii="宋体" w:hAnsi="宋体" w:eastAsia="宋体" w:cs="宋体"/>
                      <w:sz w:val="20"/>
                      <w:szCs w:val="20"/>
                      <w:bdr w:val="none" w:color="auto" w:sz="0" w:space="0"/>
                    </w:rPr>
                    <w:t>行政村通宽带比例</w:t>
                  </w:r>
                </w:p>
              </w:tc>
              <w:tc>
                <w:tcPr>
                  <w:tcW w:w="1479"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top"/>
                </w:tcPr>
                <w:p>
                  <w:pPr>
                    <w:pStyle w:val="2"/>
                    <w:keepNext w:val="0"/>
                    <w:keepLines w:val="0"/>
                    <w:widowControl/>
                    <w:suppressLineNumbers w:val="0"/>
                  </w:pPr>
                  <w:r>
                    <w:rPr>
                      <w:bdr w:val="none" w:color="auto" w:sz="0" w:space="0"/>
                    </w:rPr>
                    <w:t>%</w:t>
                  </w:r>
                </w:p>
              </w:tc>
              <w:tc>
                <w:tcPr>
                  <w:tcW w:w="1545" w:type="dxa"/>
                  <w:gridSpan w:val="2"/>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top"/>
                </w:tcPr>
                <w:p>
                  <w:pPr>
                    <w:pStyle w:val="2"/>
                    <w:keepNext w:val="0"/>
                    <w:keepLines w:val="0"/>
                    <w:widowControl/>
                    <w:suppressLineNumbers w:val="0"/>
                  </w:pPr>
                  <w:r>
                    <w:rPr>
                      <w:sz w:val="20"/>
                      <w:szCs w:val="20"/>
                      <w:bdr w:val="none" w:color="auto" w:sz="0" w:space="0"/>
                    </w:rPr>
                    <w:t>90</w:t>
                  </w:r>
                </w:p>
              </w:tc>
              <w:tc>
                <w:tcPr>
                  <w:tcW w:w="1290"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top"/>
                </w:tcPr>
                <w:p>
                  <w:pPr>
                    <w:pStyle w:val="2"/>
                    <w:keepNext w:val="0"/>
                    <w:keepLines w:val="0"/>
                    <w:widowControl/>
                    <w:suppressLineNumbers w:val="0"/>
                  </w:pPr>
                  <w:r>
                    <w:rPr>
                      <w:sz w:val="20"/>
                      <w:szCs w:val="20"/>
                      <w:bdr w:val="none" w:color="auto" w:sz="0" w:space="0"/>
                    </w:rPr>
                    <w:t>95</w:t>
                  </w:r>
                </w:p>
              </w:tc>
              <w:tc>
                <w:tcPr>
                  <w:tcW w:w="1114"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top"/>
                </w:tcPr>
                <w:p>
                  <w:pPr>
                    <w:pStyle w:val="2"/>
                    <w:keepNext w:val="0"/>
                    <w:keepLines w:val="0"/>
                    <w:widowControl/>
                    <w:suppressLineNumbers w:val="0"/>
                  </w:pPr>
                  <w:r>
                    <w:rPr>
                      <w:rFonts w:hint="eastAsia" w:ascii="宋体" w:hAnsi="宋体" w:eastAsia="宋体" w:cs="宋体"/>
                      <w:sz w:val="20"/>
                      <w:szCs w:val="20"/>
                      <w:bdr w:val="none" w:color="auto" w:sz="0" w:space="0"/>
                    </w:rPr>
                    <w:t>＞</w:t>
                  </w:r>
                  <w:r>
                    <w:rPr>
                      <w:sz w:val="20"/>
                      <w:szCs w:val="20"/>
                      <w:bdr w:val="none" w:color="auto" w:sz="0" w:space="0"/>
                    </w:rPr>
                    <w:t>98</w:t>
                  </w:r>
                </w:p>
              </w:tc>
            </w:tr>
            <w:tr>
              <w:tblPrEx>
                <w:tblBorders>
                  <w:top w:val="outset" w:color="DCDCDC" w:sz="6" w:space="0"/>
                  <w:left w:val="outset" w:color="DCDCDC" w:sz="6" w:space="0"/>
                  <w:bottom w:val="outset" w:color="DCDCDC" w:sz="6" w:space="0"/>
                  <w:right w:val="outset" w:color="DCDCDC" w:sz="6" w:space="0"/>
                  <w:insideH w:val="outset" w:color="DCDCDC" w:sz="6" w:space="0"/>
                  <w:insideV w:val="outset" w:color="DCDCDC" w:sz="6" w:space="0"/>
                </w:tblBorders>
                <w:shd w:val="clear" w:color="auto" w:fill="FFFFFF"/>
                <w:tblCellMar>
                  <w:top w:w="30" w:type="dxa"/>
                  <w:left w:w="30" w:type="dxa"/>
                  <w:bottom w:w="30" w:type="dxa"/>
                  <w:right w:w="30" w:type="dxa"/>
                </w:tblCellMar>
              </w:tblPrEx>
              <w:tc>
                <w:tcPr>
                  <w:tcW w:w="3367"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top"/>
                </w:tcPr>
                <w:p>
                  <w:pPr>
                    <w:pStyle w:val="2"/>
                    <w:keepNext w:val="0"/>
                    <w:keepLines w:val="0"/>
                    <w:widowControl/>
                    <w:suppressLineNumbers w:val="0"/>
                  </w:pPr>
                  <w:r>
                    <w:rPr>
                      <w:rFonts w:hint="eastAsia" w:ascii="宋体" w:hAnsi="宋体" w:eastAsia="宋体" w:cs="宋体"/>
                      <w:sz w:val="20"/>
                      <w:szCs w:val="20"/>
                      <w:bdr w:val="none" w:color="auto" w:sz="0" w:space="0"/>
                    </w:rPr>
                    <w:t>全国有线电视网络互联互通平台覆盖有线电视网络用户比例</w:t>
                  </w:r>
                </w:p>
              </w:tc>
              <w:tc>
                <w:tcPr>
                  <w:tcW w:w="1479"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top"/>
                </w:tcPr>
                <w:p>
                  <w:pPr>
                    <w:pStyle w:val="2"/>
                    <w:keepNext w:val="0"/>
                    <w:keepLines w:val="0"/>
                    <w:widowControl/>
                    <w:suppressLineNumbers w:val="0"/>
                  </w:pPr>
                  <w:r>
                    <w:rPr>
                      <w:bdr w:val="none" w:color="auto" w:sz="0" w:space="0"/>
                    </w:rPr>
                    <w:t>%</w:t>
                  </w:r>
                </w:p>
              </w:tc>
              <w:tc>
                <w:tcPr>
                  <w:tcW w:w="1509"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top"/>
                </w:tcPr>
                <w:p>
                  <w:pPr>
                    <w:pStyle w:val="2"/>
                    <w:keepNext w:val="0"/>
                    <w:keepLines w:val="0"/>
                    <w:widowControl/>
                    <w:suppressLineNumbers w:val="0"/>
                  </w:pPr>
                  <w:r>
                    <w:rPr>
                      <w:sz w:val="20"/>
                      <w:szCs w:val="20"/>
                      <w:bdr w:val="none" w:color="auto" w:sz="0" w:space="0"/>
                    </w:rPr>
                    <w:t>60</w:t>
                  </w:r>
                </w:p>
              </w:tc>
              <w:tc>
                <w:tcPr>
                  <w:tcW w:w="1293" w:type="dxa"/>
                  <w:gridSpan w:val="2"/>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top"/>
                </w:tcPr>
                <w:p>
                  <w:pPr>
                    <w:pStyle w:val="2"/>
                    <w:keepNext w:val="0"/>
                    <w:keepLines w:val="0"/>
                    <w:widowControl/>
                    <w:suppressLineNumbers w:val="0"/>
                  </w:pPr>
                  <w:r>
                    <w:rPr>
                      <w:sz w:val="20"/>
                      <w:szCs w:val="20"/>
                      <w:bdr w:val="none" w:color="auto" w:sz="0" w:space="0"/>
                    </w:rPr>
                    <w:t>80</w:t>
                  </w:r>
                </w:p>
              </w:tc>
              <w:tc>
                <w:tcPr>
                  <w:tcW w:w="1114"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top"/>
                </w:tcPr>
                <w:p>
                  <w:pPr>
                    <w:pStyle w:val="2"/>
                    <w:keepNext w:val="0"/>
                    <w:keepLines w:val="0"/>
                    <w:widowControl/>
                    <w:suppressLineNumbers w:val="0"/>
                  </w:pPr>
                  <w:r>
                    <w:rPr>
                      <w:rFonts w:hint="eastAsia" w:ascii="宋体" w:hAnsi="宋体" w:eastAsia="宋体" w:cs="宋体"/>
                      <w:sz w:val="20"/>
                      <w:szCs w:val="20"/>
                      <w:bdr w:val="none" w:color="auto" w:sz="0" w:space="0"/>
                    </w:rPr>
                    <w:t>＞</w:t>
                  </w:r>
                  <w:r>
                    <w:rPr>
                      <w:sz w:val="20"/>
                      <w:szCs w:val="20"/>
                      <w:bdr w:val="none" w:color="auto" w:sz="0" w:space="0"/>
                    </w:rPr>
                    <w:t>95</w:t>
                  </w:r>
                </w:p>
              </w:tc>
            </w:tr>
            <w:tr>
              <w:tblPrEx>
                <w:tblBorders>
                  <w:top w:val="outset" w:color="DCDCDC" w:sz="6" w:space="0"/>
                  <w:left w:val="outset" w:color="DCDCDC" w:sz="6" w:space="0"/>
                  <w:bottom w:val="outset" w:color="DCDCDC" w:sz="6" w:space="0"/>
                  <w:right w:val="outset" w:color="DCDCDC" w:sz="6" w:space="0"/>
                  <w:insideH w:val="outset" w:color="DCDCDC" w:sz="6" w:space="0"/>
                  <w:insideV w:val="outset" w:color="DCDCDC" w:sz="6" w:space="0"/>
                </w:tblBorders>
                <w:shd w:val="clear" w:color="auto" w:fill="FFFFFF"/>
                <w:tblCellMar>
                  <w:top w:w="30" w:type="dxa"/>
                  <w:left w:w="30" w:type="dxa"/>
                  <w:bottom w:w="30" w:type="dxa"/>
                  <w:right w:w="30" w:type="dxa"/>
                </w:tblCellMar>
              </w:tblPrEx>
              <w:tc>
                <w:tcPr>
                  <w:tcW w:w="8388" w:type="dxa"/>
                  <w:gridSpan w:val="6"/>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top"/>
                </w:tcPr>
                <w:p>
                  <w:pPr>
                    <w:pStyle w:val="2"/>
                    <w:keepNext w:val="0"/>
                    <w:keepLines w:val="0"/>
                    <w:widowControl/>
                    <w:suppressLineNumbers w:val="0"/>
                    <w:ind w:left="0" w:firstLine="3570"/>
                  </w:pPr>
                  <w:r>
                    <w:rPr>
                      <w:rFonts w:hint="eastAsia" w:ascii="宋体" w:hAnsi="宋体" w:eastAsia="宋体" w:cs="宋体"/>
                      <w:sz w:val="20"/>
                      <w:szCs w:val="20"/>
                      <w:bdr w:val="none" w:color="auto" w:sz="0" w:space="0"/>
                    </w:rPr>
                    <w:t>4.宽带信息应用</w:t>
                  </w:r>
                </w:p>
              </w:tc>
            </w:tr>
            <w:tr>
              <w:tblPrEx>
                <w:tblBorders>
                  <w:top w:val="outset" w:color="DCDCDC" w:sz="6" w:space="0"/>
                  <w:left w:val="outset" w:color="DCDCDC" w:sz="6" w:space="0"/>
                  <w:bottom w:val="outset" w:color="DCDCDC" w:sz="6" w:space="0"/>
                  <w:right w:val="outset" w:color="DCDCDC" w:sz="6" w:space="0"/>
                  <w:insideH w:val="outset" w:color="DCDCDC" w:sz="6" w:space="0"/>
                  <w:insideV w:val="outset" w:color="DCDCDC" w:sz="6" w:space="0"/>
                </w:tblBorders>
                <w:shd w:val="clear" w:color="auto" w:fill="FFFFFF"/>
                <w:tblCellMar>
                  <w:top w:w="30" w:type="dxa"/>
                  <w:left w:w="30" w:type="dxa"/>
                  <w:bottom w:w="30" w:type="dxa"/>
                  <w:right w:w="30" w:type="dxa"/>
                </w:tblCellMar>
              </w:tblPrEx>
              <w:tc>
                <w:tcPr>
                  <w:tcW w:w="3367"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top"/>
                </w:tcPr>
                <w:p>
                  <w:pPr>
                    <w:pStyle w:val="2"/>
                    <w:keepNext w:val="0"/>
                    <w:keepLines w:val="0"/>
                    <w:widowControl/>
                    <w:suppressLineNumbers w:val="0"/>
                  </w:pPr>
                  <w:r>
                    <w:rPr>
                      <w:rFonts w:hint="eastAsia" w:ascii="宋体" w:hAnsi="宋体" w:eastAsia="宋体" w:cs="宋体"/>
                      <w:sz w:val="20"/>
                      <w:szCs w:val="20"/>
                      <w:bdr w:val="none" w:color="auto" w:sz="0" w:space="0"/>
                    </w:rPr>
                    <w:t>网民数量</w:t>
                  </w:r>
                </w:p>
              </w:tc>
              <w:tc>
                <w:tcPr>
                  <w:tcW w:w="1479"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top"/>
                </w:tcPr>
                <w:p>
                  <w:pPr>
                    <w:pStyle w:val="2"/>
                    <w:keepNext w:val="0"/>
                    <w:keepLines w:val="0"/>
                    <w:widowControl/>
                    <w:suppressLineNumbers w:val="0"/>
                  </w:pPr>
                  <w:r>
                    <w:rPr>
                      <w:rFonts w:hint="eastAsia" w:ascii="宋体" w:hAnsi="宋体" w:eastAsia="宋体" w:cs="宋体"/>
                      <w:sz w:val="20"/>
                      <w:szCs w:val="20"/>
                      <w:bdr w:val="none" w:color="auto" w:sz="0" w:space="0"/>
                    </w:rPr>
                    <w:t>亿人</w:t>
                  </w:r>
                </w:p>
              </w:tc>
              <w:tc>
                <w:tcPr>
                  <w:tcW w:w="1509"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top"/>
                </w:tcPr>
                <w:p>
                  <w:pPr>
                    <w:pStyle w:val="2"/>
                    <w:keepNext w:val="0"/>
                    <w:keepLines w:val="0"/>
                    <w:widowControl/>
                    <w:suppressLineNumbers w:val="0"/>
                  </w:pPr>
                  <w:r>
                    <w:rPr>
                      <w:sz w:val="20"/>
                      <w:szCs w:val="20"/>
                      <w:bdr w:val="none" w:color="auto" w:sz="0" w:space="0"/>
                    </w:rPr>
                    <w:t>7</w:t>
                  </w:r>
                  <w:r>
                    <w:rPr>
                      <w:rFonts w:hint="eastAsia" w:ascii="宋体" w:hAnsi="宋体" w:eastAsia="宋体" w:cs="宋体"/>
                      <w:sz w:val="20"/>
                      <w:szCs w:val="20"/>
                      <w:bdr w:val="none" w:color="auto" w:sz="0" w:space="0"/>
                    </w:rPr>
                    <w:t>.</w:t>
                  </w:r>
                  <w:r>
                    <w:rPr>
                      <w:sz w:val="20"/>
                      <w:szCs w:val="20"/>
                      <w:bdr w:val="none" w:color="auto" w:sz="0" w:space="0"/>
                    </w:rPr>
                    <w:t>0</w:t>
                  </w:r>
                </w:p>
              </w:tc>
              <w:tc>
                <w:tcPr>
                  <w:tcW w:w="1293" w:type="dxa"/>
                  <w:gridSpan w:val="2"/>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top"/>
                </w:tcPr>
                <w:p>
                  <w:pPr>
                    <w:pStyle w:val="2"/>
                    <w:keepNext w:val="0"/>
                    <w:keepLines w:val="0"/>
                    <w:widowControl/>
                    <w:suppressLineNumbers w:val="0"/>
                  </w:pPr>
                  <w:r>
                    <w:rPr>
                      <w:sz w:val="20"/>
                      <w:szCs w:val="20"/>
                      <w:bdr w:val="none" w:color="auto" w:sz="0" w:space="0"/>
                    </w:rPr>
                    <w:t>8</w:t>
                  </w:r>
                  <w:r>
                    <w:rPr>
                      <w:rFonts w:hint="eastAsia" w:ascii="宋体" w:hAnsi="宋体" w:eastAsia="宋体" w:cs="宋体"/>
                      <w:sz w:val="20"/>
                      <w:szCs w:val="20"/>
                      <w:bdr w:val="none" w:color="auto" w:sz="0" w:space="0"/>
                    </w:rPr>
                    <w:t>.</w:t>
                  </w:r>
                  <w:r>
                    <w:rPr>
                      <w:sz w:val="20"/>
                      <w:szCs w:val="20"/>
                      <w:bdr w:val="none" w:color="auto" w:sz="0" w:space="0"/>
                    </w:rPr>
                    <w:t>5</w:t>
                  </w:r>
                </w:p>
              </w:tc>
              <w:tc>
                <w:tcPr>
                  <w:tcW w:w="1114"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top"/>
                </w:tcPr>
                <w:p>
                  <w:pPr>
                    <w:pStyle w:val="2"/>
                    <w:keepNext w:val="0"/>
                    <w:keepLines w:val="0"/>
                    <w:widowControl/>
                    <w:suppressLineNumbers w:val="0"/>
                  </w:pPr>
                  <w:r>
                    <w:rPr>
                      <w:sz w:val="20"/>
                      <w:szCs w:val="20"/>
                      <w:bdr w:val="none" w:color="auto" w:sz="0" w:space="0"/>
                    </w:rPr>
                    <w:t>11</w:t>
                  </w:r>
                  <w:r>
                    <w:rPr>
                      <w:rFonts w:hint="eastAsia" w:ascii="宋体" w:hAnsi="宋体" w:eastAsia="宋体" w:cs="宋体"/>
                      <w:sz w:val="20"/>
                      <w:szCs w:val="20"/>
                      <w:bdr w:val="none" w:color="auto" w:sz="0" w:space="0"/>
                    </w:rPr>
                    <w:t>.</w:t>
                  </w:r>
                  <w:r>
                    <w:rPr>
                      <w:sz w:val="20"/>
                      <w:szCs w:val="20"/>
                      <w:bdr w:val="none" w:color="auto" w:sz="0" w:space="0"/>
                    </w:rPr>
                    <w:t>0</w:t>
                  </w:r>
                </w:p>
              </w:tc>
            </w:tr>
            <w:tr>
              <w:tblPrEx>
                <w:tblBorders>
                  <w:top w:val="outset" w:color="DCDCDC" w:sz="6" w:space="0"/>
                  <w:left w:val="outset" w:color="DCDCDC" w:sz="6" w:space="0"/>
                  <w:bottom w:val="outset" w:color="DCDCDC" w:sz="6" w:space="0"/>
                  <w:right w:val="outset" w:color="DCDCDC" w:sz="6" w:space="0"/>
                  <w:insideH w:val="outset" w:color="DCDCDC" w:sz="6" w:space="0"/>
                  <w:insideV w:val="outset" w:color="DCDCDC" w:sz="6" w:space="0"/>
                </w:tblBorders>
                <w:tblCellMar>
                  <w:top w:w="30" w:type="dxa"/>
                  <w:left w:w="30" w:type="dxa"/>
                  <w:bottom w:w="30" w:type="dxa"/>
                  <w:right w:w="30" w:type="dxa"/>
                </w:tblCellMar>
              </w:tblPrEx>
              <w:tc>
                <w:tcPr>
                  <w:tcW w:w="3367"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top"/>
                </w:tcPr>
                <w:p>
                  <w:pPr>
                    <w:pStyle w:val="2"/>
                    <w:keepNext w:val="0"/>
                    <w:keepLines w:val="0"/>
                    <w:widowControl/>
                    <w:suppressLineNumbers w:val="0"/>
                    <w:ind w:left="0" w:firstLine="420"/>
                  </w:pPr>
                  <w:r>
                    <w:rPr>
                      <w:rFonts w:hint="eastAsia" w:ascii="宋体" w:hAnsi="宋体" w:eastAsia="宋体" w:cs="宋体"/>
                      <w:sz w:val="20"/>
                      <w:szCs w:val="20"/>
                      <w:bdr w:val="none" w:color="auto" w:sz="0" w:space="0"/>
                    </w:rPr>
                    <w:t>其中：农村网民</w:t>
                  </w:r>
                </w:p>
              </w:tc>
              <w:tc>
                <w:tcPr>
                  <w:tcW w:w="1479"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top"/>
                </w:tcPr>
                <w:p>
                  <w:pPr>
                    <w:pStyle w:val="2"/>
                    <w:keepNext w:val="0"/>
                    <w:keepLines w:val="0"/>
                    <w:widowControl/>
                    <w:suppressLineNumbers w:val="0"/>
                  </w:pPr>
                  <w:r>
                    <w:rPr>
                      <w:rFonts w:hint="eastAsia" w:ascii="宋体" w:hAnsi="宋体" w:eastAsia="宋体" w:cs="宋体"/>
                      <w:sz w:val="20"/>
                      <w:szCs w:val="20"/>
                      <w:bdr w:val="none" w:color="auto" w:sz="0" w:space="0"/>
                    </w:rPr>
                    <w:t>亿人</w:t>
                  </w:r>
                </w:p>
              </w:tc>
              <w:tc>
                <w:tcPr>
                  <w:tcW w:w="1509"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top"/>
                </w:tcPr>
                <w:p>
                  <w:pPr>
                    <w:pStyle w:val="2"/>
                    <w:keepNext w:val="0"/>
                    <w:keepLines w:val="0"/>
                    <w:widowControl/>
                    <w:suppressLineNumbers w:val="0"/>
                  </w:pPr>
                  <w:r>
                    <w:rPr>
                      <w:sz w:val="20"/>
                      <w:szCs w:val="20"/>
                      <w:bdr w:val="none" w:color="auto" w:sz="0" w:space="0"/>
                    </w:rPr>
                    <w:t>1</w:t>
                  </w:r>
                  <w:r>
                    <w:rPr>
                      <w:rFonts w:hint="eastAsia" w:ascii="宋体" w:hAnsi="宋体" w:eastAsia="宋体" w:cs="宋体"/>
                      <w:sz w:val="20"/>
                      <w:szCs w:val="20"/>
                      <w:bdr w:val="none" w:color="auto" w:sz="0" w:space="0"/>
                    </w:rPr>
                    <w:t>.</w:t>
                  </w:r>
                  <w:r>
                    <w:rPr>
                      <w:sz w:val="20"/>
                      <w:szCs w:val="20"/>
                      <w:bdr w:val="none" w:color="auto" w:sz="0" w:space="0"/>
                    </w:rPr>
                    <w:t>8</w:t>
                  </w:r>
                </w:p>
              </w:tc>
              <w:tc>
                <w:tcPr>
                  <w:tcW w:w="1293" w:type="dxa"/>
                  <w:gridSpan w:val="2"/>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top"/>
                </w:tcPr>
                <w:p>
                  <w:pPr>
                    <w:pStyle w:val="2"/>
                    <w:keepNext w:val="0"/>
                    <w:keepLines w:val="0"/>
                    <w:widowControl/>
                    <w:suppressLineNumbers w:val="0"/>
                  </w:pPr>
                  <w:r>
                    <w:rPr>
                      <w:sz w:val="20"/>
                      <w:szCs w:val="20"/>
                      <w:bdr w:val="none" w:color="auto" w:sz="0" w:space="0"/>
                    </w:rPr>
                    <w:t>2</w:t>
                  </w:r>
                  <w:r>
                    <w:rPr>
                      <w:rFonts w:hint="eastAsia" w:ascii="宋体" w:hAnsi="宋体" w:eastAsia="宋体" w:cs="宋体"/>
                      <w:sz w:val="20"/>
                      <w:szCs w:val="20"/>
                      <w:bdr w:val="none" w:color="auto" w:sz="0" w:space="0"/>
                    </w:rPr>
                    <w:t>.</w:t>
                  </w:r>
                  <w:r>
                    <w:rPr>
                      <w:sz w:val="20"/>
                      <w:szCs w:val="20"/>
                      <w:bdr w:val="none" w:color="auto" w:sz="0" w:space="0"/>
                    </w:rPr>
                    <w:t>0</w:t>
                  </w:r>
                </w:p>
              </w:tc>
              <w:tc>
                <w:tcPr>
                  <w:tcW w:w="1114"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top"/>
                </w:tcPr>
                <w:p>
                  <w:pPr>
                    <w:pStyle w:val="2"/>
                    <w:keepNext w:val="0"/>
                    <w:keepLines w:val="0"/>
                    <w:widowControl/>
                    <w:suppressLineNumbers w:val="0"/>
                  </w:pPr>
                  <w:r>
                    <w:rPr>
                      <w:rFonts w:hint="eastAsia" w:ascii="宋体" w:hAnsi="宋体" w:eastAsia="宋体" w:cs="宋体"/>
                      <w:bdr w:val="none" w:color="auto" w:sz="0" w:space="0"/>
                    </w:rPr>
                    <w:t>——</w:t>
                  </w:r>
                </w:p>
              </w:tc>
            </w:tr>
            <w:tr>
              <w:tblPrEx>
                <w:tblBorders>
                  <w:top w:val="outset" w:color="DCDCDC" w:sz="6" w:space="0"/>
                  <w:left w:val="outset" w:color="DCDCDC" w:sz="6" w:space="0"/>
                  <w:bottom w:val="outset" w:color="DCDCDC" w:sz="6" w:space="0"/>
                  <w:right w:val="outset" w:color="DCDCDC" w:sz="6" w:space="0"/>
                  <w:insideH w:val="outset" w:color="DCDCDC" w:sz="6" w:space="0"/>
                  <w:insideV w:val="outset" w:color="DCDCDC" w:sz="6" w:space="0"/>
                </w:tblBorders>
                <w:tblCellMar>
                  <w:top w:w="30" w:type="dxa"/>
                  <w:left w:w="30" w:type="dxa"/>
                  <w:bottom w:w="30" w:type="dxa"/>
                  <w:right w:w="30" w:type="dxa"/>
                </w:tblCellMar>
              </w:tblPrEx>
              <w:tc>
                <w:tcPr>
                  <w:tcW w:w="3367"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top"/>
                </w:tcPr>
                <w:p>
                  <w:pPr>
                    <w:pStyle w:val="2"/>
                    <w:keepNext w:val="0"/>
                    <w:keepLines w:val="0"/>
                    <w:widowControl/>
                    <w:suppressLineNumbers w:val="0"/>
                  </w:pPr>
                  <w:r>
                    <w:rPr>
                      <w:rFonts w:hint="eastAsia" w:ascii="宋体" w:hAnsi="宋体" w:eastAsia="宋体" w:cs="宋体"/>
                      <w:sz w:val="20"/>
                      <w:szCs w:val="20"/>
                      <w:bdr w:val="none" w:color="auto" w:sz="0" w:space="0"/>
                    </w:rPr>
                    <w:t>互联网数据量（网页总字节）</w:t>
                  </w:r>
                </w:p>
              </w:tc>
              <w:tc>
                <w:tcPr>
                  <w:tcW w:w="1479"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top"/>
                </w:tcPr>
                <w:p>
                  <w:pPr>
                    <w:pStyle w:val="2"/>
                    <w:keepNext w:val="0"/>
                    <w:keepLines w:val="0"/>
                    <w:widowControl/>
                    <w:suppressLineNumbers w:val="0"/>
                  </w:pPr>
                  <w:r>
                    <w:rPr>
                      <w:rFonts w:hint="eastAsia" w:ascii="宋体" w:hAnsi="宋体" w:eastAsia="宋体" w:cs="宋体"/>
                      <w:sz w:val="20"/>
                      <w:szCs w:val="20"/>
                      <w:bdr w:val="none" w:color="auto" w:sz="0" w:space="0"/>
                    </w:rPr>
                    <w:t>太字节</w:t>
                  </w:r>
                </w:p>
              </w:tc>
              <w:tc>
                <w:tcPr>
                  <w:tcW w:w="1509"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top"/>
                </w:tcPr>
                <w:p>
                  <w:pPr>
                    <w:pStyle w:val="2"/>
                    <w:keepNext w:val="0"/>
                    <w:keepLines w:val="0"/>
                    <w:widowControl/>
                    <w:suppressLineNumbers w:val="0"/>
                  </w:pPr>
                  <w:r>
                    <w:rPr>
                      <w:sz w:val="20"/>
                      <w:szCs w:val="20"/>
                      <w:bdr w:val="none" w:color="auto" w:sz="0" w:space="0"/>
                    </w:rPr>
                    <w:t>7800</w:t>
                  </w:r>
                </w:p>
              </w:tc>
              <w:tc>
                <w:tcPr>
                  <w:tcW w:w="1293" w:type="dxa"/>
                  <w:gridSpan w:val="2"/>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top"/>
                </w:tcPr>
                <w:p>
                  <w:pPr>
                    <w:pStyle w:val="2"/>
                    <w:keepNext w:val="0"/>
                    <w:keepLines w:val="0"/>
                    <w:widowControl/>
                    <w:suppressLineNumbers w:val="0"/>
                  </w:pPr>
                  <w:r>
                    <w:rPr>
                      <w:sz w:val="20"/>
                      <w:szCs w:val="20"/>
                      <w:bdr w:val="none" w:color="auto" w:sz="0" w:space="0"/>
                    </w:rPr>
                    <w:t>15000</w:t>
                  </w:r>
                </w:p>
              </w:tc>
              <w:tc>
                <w:tcPr>
                  <w:tcW w:w="1114"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top"/>
                </w:tcPr>
                <w:p>
                  <w:pPr>
                    <w:pStyle w:val="2"/>
                    <w:keepNext w:val="0"/>
                    <w:keepLines w:val="0"/>
                    <w:widowControl/>
                    <w:suppressLineNumbers w:val="0"/>
                  </w:pPr>
                  <w:r>
                    <w:rPr>
                      <w:bdr w:val="none" w:color="auto" w:sz="0" w:space="0"/>
                    </w:rPr>
                    <w:t> </w:t>
                  </w:r>
                </w:p>
              </w:tc>
            </w:tr>
            <w:tr>
              <w:tblPrEx>
                <w:tblBorders>
                  <w:top w:val="outset" w:color="DCDCDC" w:sz="6" w:space="0"/>
                  <w:left w:val="outset" w:color="DCDCDC" w:sz="6" w:space="0"/>
                  <w:bottom w:val="outset" w:color="DCDCDC" w:sz="6" w:space="0"/>
                  <w:right w:val="outset" w:color="DCDCDC" w:sz="6" w:space="0"/>
                  <w:insideH w:val="outset" w:color="DCDCDC" w:sz="6" w:space="0"/>
                  <w:insideV w:val="outset" w:color="DCDCDC" w:sz="6" w:space="0"/>
                </w:tblBorders>
                <w:tblCellMar>
                  <w:top w:w="30" w:type="dxa"/>
                  <w:left w:w="30" w:type="dxa"/>
                  <w:bottom w:w="30" w:type="dxa"/>
                  <w:right w:w="30" w:type="dxa"/>
                </w:tblCellMar>
              </w:tblPrEx>
              <w:tc>
                <w:tcPr>
                  <w:tcW w:w="3367"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top"/>
                </w:tcPr>
                <w:p>
                  <w:pPr>
                    <w:pStyle w:val="2"/>
                    <w:keepNext w:val="0"/>
                    <w:keepLines w:val="0"/>
                    <w:widowControl/>
                    <w:suppressLineNumbers w:val="0"/>
                  </w:pPr>
                  <w:r>
                    <w:rPr>
                      <w:rFonts w:hint="eastAsia" w:ascii="宋体" w:hAnsi="宋体" w:eastAsia="宋体" w:cs="宋体"/>
                      <w:sz w:val="20"/>
                      <w:szCs w:val="20"/>
                      <w:bdr w:val="none" w:color="auto" w:sz="0" w:space="0"/>
                    </w:rPr>
                    <w:t>电子商务交易额</w:t>
                  </w:r>
                </w:p>
              </w:tc>
              <w:tc>
                <w:tcPr>
                  <w:tcW w:w="1479"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top"/>
                </w:tcPr>
                <w:p>
                  <w:pPr>
                    <w:pStyle w:val="2"/>
                    <w:keepNext w:val="0"/>
                    <w:keepLines w:val="0"/>
                    <w:widowControl/>
                    <w:suppressLineNumbers w:val="0"/>
                  </w:pPr>
                  <w:r>
                    <w:rPr>
                      <w:rFonts w:hint="eastAsia" w:ascii="宋体" w:hAnsi="宋体" w:eastAsia="宋体" w:cs="宋体"/>
                      <w:sz w:val="20"/>
                      <w:szCs w:val="20"/>
                      <w:bdr w:val="none" w:color="auto" w:sz="0" w:space="0"/>
                    </w:rPr>
                    <w:t>万亿元</w:t>
                  </w:r>
                </w:p>
              </w:tc>
              <w:tc>
                <w:tcPr>
                  <w:tcW w:w="1509"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top"/>
                </w:tcPr>
                <w:p>
                  <w:pPr>
                    <w:pStyle w:val="2"/>
                    <w:keepNext w:val="0"/>
                    <w:keepLines w:val="0"/>
                    <w:widowControl/>
                    <w:suppressLineNumbers w:val="0"/>
                  </w:pPr>
                  <w:r>
                    <w:rPr>
                      <w:sz w:val="20"/>
                      <w:szCs w:val="20"/>
                      <w:bdr w:val="none" w:color="auto" w:sz="0" w:space="0"/>
                    </w:rPr>
                    <w:t>10</w:t>
                  </w:r>
                </w:p>
              </w:tc>
              <w:tc>
                <w:tcPr>
                  <w:tcW w:w="1293" w:type="dxa"/>
                  <w:gridSpan w:val="2"/>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top"/>
                </w:tcPr>
                <w:p>
                  <w:pPr>
                    <w:pStyle w:val="2"/>
                    <w:keepNext w:val="0"/>
                    <w:keepLines w:val="0"/>
                    <w:widowControl/>
                    <w:suppressLineNumbers w:val="0"/>
                  </w:pPr>
                  <w:r>
                    <w:rPr>
                      <w:sz w:val="20"/>
                      <w:szCs w:val="20"/>
                      <w:bdr w:val="none" w:color="auto" w:sz="0" w:space="0"/>
                    </w:rPr>
                    <w:t>18</w:t>
                  </w:r>
                </w:p>
              </w:tc>
              <w:tc>
                <w:tcPr>
                  <w:tcW w:w="1114"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top"/>
                </w:tcPr>
                <w:p>
                  <w:pPr>
                    <w:pStyle w:val="2"/>
                    <w:keepNext w:val="0"/>
                    <w:keepLines w:val="0"/>
                    <w:widowControl/>
                    <w:suppressLineNumbers w:val="0"/>
                  </w:pPr>
                  <w:r>
                    <w:rPr>
                      <w:rFonts w:hint="eastAsia" w:ascii="宋体" w:hAnsi="宋体" w:eastAsia="宋体" w:cs="宋体"/>
                      <w:bdr w:val="none" w:color="auto" w:sz="0" w:space="0"/>
                    </w:rPr>
                    <w:t>——</w:t>
                  </w:r>
                </w:p>
              </w:tc>
            </w:tr>
          </w:tbl>
          <w:p>
            <w:pPr>
              <w:pStyle w:val="2"/>
              <w:keepNext w:val="0"/>
              <w:keepLines w:val="0"/>
              <w:widowControl/>
              <w:suppressLineNumbers w:val="0"/>
              <w:spacing w:line="432" w:lineRule="atLeast"/>
            </w:pPr>
            <w:r>
              <w:rPr>
                <w:rFonts w:hint="eastAsia" w:ascii="宋体" w:hAnsi="宋体" w:eastAsia="宋体" w:cs="宋体"/>
                <w:caps w:val="0"/>
                <w:color w:val="000000"/>
                <w:spacing w:val="0"/>
                <w:sz w:val="24"/>
                <w:szCs w:val="24"/>
                <w:u w:val="none"/>
              </w:rPr>
              <w:t>    </w:t>
            </w:r>
            <w:r>
              <w:rPr>
                <w:rStyle w:val="5"/>
                <w:rFonts w:hint="eastAsia" w:ascii="宋体" w:hAnsi="宋体" w:eastAsia="宋体" w:cs="宋体"/>
                <w:caps w:val="0"/>
                <w:color w:val="000000"/>
                <w:spacing w:val="0"/>
                <w:sz w:val="24"/>
                <w:szCs w:val="24"/>
                <w:u w:val="none"/>
              </w:rPr>
              <w:t>三、重点任务</w:t>
            </w:r>
            <w:r>
              <w:rPr>
                <w:rStyle w:val="5"/>
                <w:rFonts w:hint="eastAsia" w:ascii="宋体" w:hAnsi="宋体" w:eastAsia="宋体" w:cs="宋体"/>
                <w:caps w:val="0"/>
                <w:color w:val="000000"/>
                <w:spacing w:val="0"/>
                <w:sz w:val="24"/>
                <w:szCs w:val="24"/>
                <w:u w:val="none"/>
              </w:rPr>
              <w:br w:type="textWrapping"/>
            </w:r>
            <w:r>
              <w:rPr>
                <w:rFonts w:hint="eastAsia" w:ascii="宋体" w:hAnsi="宋体" w:eastAsia="宋体" w:cs="宋体"/>
                <w:caps w:val="0"/>
                <w:color w:val="000000"/>
                <w:spacing w:val="0"/>
                <w:sz w:val="24"/>
                <w:szCs w:val="24"/>
                <w:u w:val="none"/>
              </w:rPr>
              <w:t>    （一）推进区域宽带网络协调发展。</w:t>
            </w:r>
            <w:r>
              <w:rPr>
                <w:rFonts w:hint="eastAsia" w:ascii="宋体" w:hAnsi="宋体" w:eastAsia="宋体" w:cs="宋体"/>
                <w:caps w:val="0"/>
                <w:color w:val="000000"/>
                <w:spacing w:val="0"/>
                <w:sz w:val="24"/>
                <w:szCs w:val="24"/>
                <w:u w:val="none"/>
              </w:rPr>
              <w:br w:type="textWrapping"/>
            </w:r>
            <w:r>
              <w:rPr>
                <w:rFonts w:hint="eastAsia" w:ascii="宋体" w:hAnsi="宋体" w:eastAsia="宋体" w:cs="宋体"/>
                <w:caps w:val="0"/>
                <w:color w:val="000000"/>
                <w:spacing w:val="0"/>
                <w:sz w:val="24"/>
                <w:szCs w:val="24"/>
                <w:u w:val="none"/>
              </w:rPr>
              <w:t>    东部地区。支持东部地区先行先试开展网络升级和应用创新。积极利用光纤和新一代移动通信技术、下一代广播电视网技术，全面提升宽带网络速度与性能，着力缩小与发达国家差距；加快部署基于IPv6的下一代互联网；鼓励东部地区结合本地经济社会发展需要，积极开展区域试点示范，创新宽带应用服务，培育发展新业务、新业态。</w:t>
            </w:r>
            <w:r>
              <w:rPr>
                <w:rFonts w:hint="eastAsia" w:ascii="宋体" w:hAnsi="宋体" w:eastAsia="宋体" w:cs="宋体"/>
                <w:caps w:val="0"/>
                <w:color w:val="000000"/>
                <w:spacing w:val="0"/>
                <w:sz w:val="24"/>
                <w:szCs w:val="24"/>
                <w:u w:val="none"/>
              </w:rPr>
              <w:br w:type="textWrapping"/>
            </w:r>
            <w:r>
              <w:rPr>
                <w:rFonts w:hint="eastAsia" w:ascii="宋体" w:hAnsi="宋体" w:eastAsia="宋体" w:cs="宋体"/>
                <w:caps w:val="0"/>
                <w:color w:val="000000"/>
                <w:spacing w:val="0"/>
                <w:sz w:val="24"/>
                <w:szCs w:val="24"/>
                <w:u w:val="none"/>
              </w:rPr>
              <w:t>    中西部地区。给予政策倾斜，支持中西部地区宽带网络建设，增加光缆路由，提升骨干网络容量，扩大接入网络覆盖范围，与东部地区同步部署应用新一代移动通信技术、下一代广播电视网技术和下一代互联网。加快中西部地区信息内容和网站的建设，推进具有民族特色的信息资源开发和宽带应用服务。创造有利环境，引导大型云计算数据中心落户中西部条件适宜的地区。</w:t>
            </w:r>
            <w:r>
              <w:rPr>
                <w:rFonts w:hint="eastAsia" w:ascii="宋体" w:hAnsi="宋体" w:eastAsia="宋体" w:cs="宋体"/>
                <w:caps w:val="0"/>
                <w:color w:val="000000"/>
                <w:spacing w:val="0"/>
                <w:sz w:val="24"/>
                <w:szCs w:val="24"/>
                <w:u w:val="none"/>
              </w:rPr>
              <w:br w:type="textWrapping"/>
            </w:r>
            <w:r>
              <w:rPr>
                <w:rFonts w:hint="eastAsia" w:ascii="宋体" w:hAnsi="宋体" w:eastAsia="宋体" w:cs="宋体"/>
                <w:caps w:val="0"/>
                <w:color w:val="000000"/>
                <w:spacing w:val="0"/>
                <w:sz w:val="24"/>
                <w:szCs w:val="24"/>
                <w:u w:val="none"/>
              </w:rPr>
              <w:t>    农村地区。将宽带纳入电信普遍服务范围，重点解决宽带村村通问题。因地制宜采用光纤、铜线、同轴电缆、3G/LTE、微波、卫星等多种技术手段加快宽带网络从乡镇向行政村、自然村延伸。在人口较为密集的农村地区，积极推动光纤等有线方式到村。在人口较为稀少、分散的农村地区，灵活采用各类无线技术实现宽带网络覆盖。加快研发和推广适合农民需求的低成本智能终端。加强各类涉农信息资源的深度开发，完善农村信息化业务平台和服务中心，提高综合网络信息服务水平。</w:t>
            </w:r>
          </w:p>
          <w:tbl>
            <w:tblPr>
              <w:tblW w:w="4000" w:type="pct"/>
              <w:jc w:val="center"/>
              <w:tblBorders>
                <w:top w:val="single" w:color="000000" w:sz="6" w:space="0"/>
                <w:left w:val="single" w:color="000000" w:sz="6" w:space="0"/>
                <w:bottom w:val="single" w:color="000000" w:sz="6" w:space="0"/>
                <w:right w:val="single" w:color="000000" w:sz="6" w:space="0"/>
                <w:insideH w:val="outset" w:color="000000" w:sz="6" w:space="0"/>
                <w:insideV w:val="outset" w:color="000000" w:sz="6" w:space="0"/>
              </w:tblBorders>
              <w:shd w:val="clear" w:color="auto" w:fill="FFFFFF"/>
              <w:tblLayout w:type="autofit"/>
              <w:tblCellMar>
                <w:top w:w="15" w:type="dxa"/>
                <w:left w:w="15" w:type="dxa"/>
                <w:bottom w:w="15" w:type="dxa"/>
                <w:right w:w="15" w:type="dxa"/>
              </w:tblCellMar>
            </w:tblPr>
            <w:tblGrid>
              <w:gridCol w:w="6633"/>
            </w:tblGrid>
            <w:tr>
              <w:tblPrEx>
                <w:tblBorders>
                  <w:top w:val="single" w:color="000000" w:sz="6" w:space="0"/>
                  <w:left w:val="single" w:color="000000" w:sz="6" w:space="0"/>
                  <w:bottom w:val="single" w:color="000000" w:sz="6" w:space="0"/>
                  <w:right w:val="single" w:color="000000" w:sz="6" w:space="0"/>
                  <w:insideH w:val="outset" w:color="000000" w:sz="6" w:space="0"/>
                  <w:insideV w:val="outset" w:color="000000" w:sz="6" w:space="0"/>
                </w:tblBorders>
                <w:shd w:val="clear" w:color="auto" w:fill="FFFFFF"/>
                <w:tblCellMar>
                  <w:top w:w="15" w:type="dxa"/>
                  <w:left w:w="15" w:type="dxa"/>
                  <w:bottom w:w="15" w:type="dxa"/>
                  <w:right w:w="15" w:type="dxa"/>
                </w:tblCellMar>
              </w:tblPrEx>
              <w:trPr>
                <w:jc w:val="center"/>
              </w:trPr>
              <w:tc>
                <w:tcPr>
                  <w:tcW w:w="0" w:type="auto"/>
                  <w:tcBorders>
                    <w:top w:val="outset" w:color="000000" w:sz="6" w:space="0"/>
                    <w:left w:val="outset" w:color="000000" w:sz="6" w:space="0"/>
                    <w:bottom w:val="outset" w:color="000000" w:sz="6" w:space="0"/>
                    <w:right w:val="outset" w:color="000000" w:sz="6" w:space="0"/>
                  </w:tcBorders>
                  <w:shd w:val="clear" w:color="auto" w:fill="FFFFFF"/>
                  <w:vAlign w:val="center"/>
                </w:tcPr>
                <w:p>
                  <w:pPr>
                    <w:pStyle w:val="2"/>
                    <w:keepNext w:val="0"/>
                    <w:keepLines w:val="0"/>
                    <w:widowControl/>
                    <w:suppressLineNumbers w:val="0"/>
                    <w:jc w:val="center"/>
                  </w:pPr>
                  <w:r>
                    <w:rPr>
                      <w:rStyle w:val="5"/>
                      <w:sz w:val="24"/>
                      <w:szCs w:val="24"/>
                    </w:rPr>
                    <w:t>专栏1  “宽带乡村”工</w:t>
                  </w:r>
                  <w:r>
                    <w:rPr>
                      <w:rStyle w:val="5"/>
                      <w:color w:val="000000"/>
                      <w:sz w:val="24"/>
                      <w:szCs w:val="24"/>
                    </w:rPr>
                    <w:t>程</w:t>
                  </w:r>
                </w:p>
              </w:tc>
            </w:tr>
            <w:tr>
              <w:tblPrEx>
                <w:tblBorders>
                  <w:top w:val="single" w:color="000000" w:sz="6" w:space="0"/>
                  <w:left w:val="single" w:color="000000" w:sz="6" w:space="0"/>
                  <w:bottom w:val="single" w:color="000000" w:sz="6" w:space="0"/>
                  <w:right w:val="single" w:color="000000" w:sz="6" w:space="0"/>
                  <w:insideH w:val="outset" w:color="000000" w:sz="6" w:space="0"/>
                  <w:insideV w:val="outset" w:color="000000" w:sz="6" w:space="0"/>
                </w:tblBorders>
                <w:tblCellMar>
                  <w:top w:w="15" w:type="dxa"/>
                  <w:left w:w="15" w:type="dxa"/>
                  <w:bottom w:w="15" w:type="dxa"/>
                  <w:right w:w="15" w:type="dxa"/>
                </w:tblCellMar>
              </w:tblPrEx>
              <w:trPr>
                <w:jc w:val="center"/>
              </w:trPr>
              <w:tc>
                <w:tcPr>
                  <w:tcW w:w="0" w:type="auto"/>
                  <w:tcBorders>
                    <w:top w:val="outset" w:color="000000" w:sz="6" w:space="0"/>
                    <w:left w:val="outset" w:color="000000" w:sz="6" w:space="0"/>
                    <w:bottom w:val="outset" w:color="000000" w:sz="6" w:space="0"/>
                    <w:right w:val="outset" w:color="000000" w:sz="6" w:space="0"/>
                  </w:tcBorders>
                  <w:shd w:val="clear" w:color="auto" w:fill="FFFFFF"/>
                  <w:vAlign w:val="center"/>
                </w:tcPr>
                <w:p>
                  <w:pPr>
                    <w:keepNext w:val="0"/>
                    <w:keepLines w:val="0"/>
                    <w:widowControl/>
                    <w:suppressLineNumbers w:val="0"/>
                    <w:shd w:val="clear" w:fill="FFFFFF"/>
                    <w:jc w:val="left"/>
                  </w:pPr>
                  <w:r>
                    <w:rPr>
                      <w:rFonts w:ascii="宋体" w:hAnsi="宋体" w:eastAsia="宋体" w:cs="宋体"/>
                      <w:color w:val="000000"/>
                      <w:kern w:val="0"/>
                      <w:sz w:val="20"/>
                      <w:szCs w:val="20"/>
                      <w:lang w:val="en-US" w:eastAsia="zh-CN" w:bidi="ar"/>
                    </w:rPr>
                    <w:t>    根据农村经济发展水平和地理自然条件，灵活选择接入技术，分类分阶段推进宽带网络向行政村和有条件的自然村延伸。较发达地区在完成行政村通宽带的基础上推进光纤到行政村、宽带到自然村；欠发达地区重点解决行政村宽带覆盖。对建设成本过高的边远地区、山区以及海岛等，可以采用移动、卫星等无线宽带技术解决信息孤岛问题；对幅员宽广、居住分散的牧区，推进无线宽带覆盖；对新规划建设的成片新农村、农牧民安居工程，积极推进光纤到楼和光纤到户建设。</w:t>
                  </w:r>
                </w:p>
              </w:tc>
            </w:tr>
          </w:tbl>
          <w:p>
            <w:pPr>
              <w:pStyle w:val="2"/>
              <w:keepNext w:val="0"/>
              <w:keepLines w:val="0"/>
              <w:widowControl/>
              <w:suppressLineNumbers w:val="0"/>
              <w:spacing w:line="432" w:lineRule="atLeast"/>
            </w:pPr>
            <w:r>
              <w:rPr>
                <w:rFonts w:hint="eastAsia" w:ascii="宋体" w:hAnsi="宋体" w:eastAsia="宋体" w:cs="宋体"/>
                <w:caps w:val="0"/>
                <w:color w:val="000000"/>
                <w:spacing w:val="0"/>
                <w:sz w:val="24"/>
                <w:szCs w:val="24"/>
                <w:u w:val="none"/>
              </w:rPr>
              <w:t>  （二）加快宽带网络优化升级。</w:t>
            </w:r>
            <w:r>
              <w:rPr>
                <w:rFonts w:hint="eastAsia" w:ascii="宋体" w:hAnsi="宋体" w:eastAsia="宋体" w:cs="宋体"/>
                <w:caps w:val="0"/>
                <w:color w:val="000000"/>
                <w:spacing w:val="0"/>
                <w:sz w:val="24"/>
                <w:szCs w:val="24"/>
                <w:u w:val="none"/>
              </w:rPr>
              <w:br w:type="textWrapping"/>
            </w:r>
            <w:r>
              <w:rPr>
                <w:rFonts w:hint="eastAsia" w:ascii="宋体" w:hAnsi="宋体" w:eastAsia="宋体" w:cs="宋体"/>
                <w:caps w:val="0"/>
                <w:color w:val="000000"/>
                <w:spacing w:val="0"/>
                <w:sz w:val="24"/>
                <w:szCs w:val="24"/>
                <w:u w:val="none"/>
              </w:rPr>
              <w:t>    骨干网。加快互联网骨干节点升级，推进下一代广播电视网宽带骨干网建设，提升网络流量疏通能力，全面支持IPv6。优化互联网骨干网间互联架构，扩容网间带宽，保障连接性能。增加国际海陆缆通达方向，完善国际业务节点布局，提升国际互联带宽和流量转接能力。升级国家骨干传输网，提升业务承载能力，增强网络安全可靠性。</w:t>
            </w:r>
            <w:r>
              <w:rPr>
                <w:rFonts w:hint="eastAsia" w:ascii="宋体" w:hAnsi="宋体" w:eastAsia="宋体" w:cs="宋体"/>
                <w:caps w:val="0"/>
                <w:color w:val="000000"/>
                <w:spacing w:val="0"/>
                <w:sz w:val="24"/>
                <w:szCs w:val="24"/>
                <w:u w:val="none"/>
              </w:rPr>
              <w:br w:type="textWrapping"/>
            </w:r>
            <w:r>
              <w:rPr>
                <w:rFonts w:hint="eastAsia" w:ascii="宋体" w:hAnsi="宋体" w:eastAsia="宋体" w:cs="宋体"/>
                <w:caps w:val="0"/>
                <w:color w:val="000000"/>
                <w:spacing w:val="0"/>
                <w:sz w:val="24"/>
                <w:szCs w:val="24"/>
                <w:u w:val="none"/>
              </w:rPr>
              <w:t>    接入网和城域网。积极利用各类社会资本，统筹有线、无线技术加快宽带接入网建设。以多种方式推进光纤向用户端延伸，加快下一代广播电视网宽带接入网络的建设，逐步建成以光纤为主、同轴电缆和双绞线等接入资源有效利用的固定宽带接入网络。加大无线宽带网络建设力度，扩大3G网络覆盖范围，提高覆盖质量，协调推进TD-LTE商用发展，加快无线局域网重要公共区域热点覆盖，加快推进地面广播电视数字化进程。推进城域网优化和扩容。加快接入网、城域网IPv6升级改造。规划用地红线内的通信管道等通信设施与住宅区、住宅建筑同步建设，并预先铺设入户光纤，预留设备间，所需投资纳入相应建设项目概算。探索宽带基础设施共建共享的合作新模式。</w:t>
            </w:r>
            <w:r>
              <w:rPr>
                <w:rFonts w:hint="eastAsia" w:ascii="宋体" w:hAnsi="宋体" w:eastAsia="宋体" w:cs="宋体"/>
                <w:caps w:val="0"/>
                <w:color w:val="000000"/>
                <w:spacing w:val="0"/>
                <w:sz w:val="24"/>
                <w:szCs w:val="24"/>
                <w:u w:val="none"/>
              </w:rPr>
              <w:br w:type="textWrapping"/>
            </w:r>
            <w:r>
              <w:rPr>
                <w:rFonts w:hint="eastAsia" w:ascii="宋体" w:hAnsi="宋体" w:eastAsia="宋体" w:cs="宋体"/>
                <w:caps w:val="0"/>
                <w:color w:val="000000"/>
                <w:spacing w:val="0"/>
                <w:sz w:val="24"/>
                <w:szCs w:val="24"/>
                <w:u w:val="none"/>
              </w:rPr>
              <w:t>    应用基础设施。统筹互联网数据中心建设，利用云计算和绿色节能技术进行升级改造，提高能效和集约化水平。扩大内容分发网络容量和覆盖范围，提升服务能力和安全管理水平。增加网站接入带宽，优化空间布局，实现互联网信息源高速接入。同步推动政府、学校、企事业单位外网网站系统及商业网站系统的IPv6升级改造。</w:t>
            </w:r>
          </w:p>
          <w:tbl>
            <w:tblPr>
              <w:tblW w:w="4000" w:type="pct"/>
              <w:jc w:val="center"/>
              <w:tblBorders>
                <w:top w:val="single" w:color="000000" w:sz="6" w:space="0"/>
                <w:left w:val="single" w:color="000000" w:sz="6" w:space="0"/>
                <w:bottom w:val="single" w:color="000000" w:sz="6" w:space="0"/>
                <w:right w:val="single" w:color="000000" w:sz="6" w:space="0"/>
                <w:insideH w:val="outset" w:color="000000" w:sz="6" w:space="0"/>
                <w:insideV w:val="outset" w:color="000000" w:sz="6" w:space="0"/>
              </w:tblBorders>
              <w:shd w:val="clear" w:color="auto" w:fill="FFFFFF"/>
              <w:tblLayout w:type="autofit"/>
              <w:tblCellMar>
                <w:top w:w="15" w:type="dxa"/>
                <w:left w:w="15" w:type="dxa"/>
                <w:bottom w:w="15" w:type="dxa"/>
                <w:right w:w="15" w:type="dxa"/>
              </w:tblCellMar>
            </w:tblPr>
            <w:tblGrid>
              <w:gridCol w:w="6633"/>
            </w:tblGrid>
            <w:tr>
              <w:tblPrEx>
                <w:tblBorders>
                  <w:top w:val="single" w:color="000000" w:sz="6" w:space="0"/>
                  <w:left w:val="single" w:color="000000" w:sz="6" w:space="0"/>
                  <w:bottom w:val="single" w:color="000000" w:sz="6" w:space="0"/>
                  <w:right w:val="single" w:color="000000" w:sz="6" w:space="0"/>
                  <w:insideH w:val="outset" w:color="000000" w:sz="6" w:space="0"/>
                  <w:insideV w:val="outset" w:color="000000" w:sz="6" w:space="0"/>
                </w:tblBorders>
                <w:shd w:val="clear" w:color="auto" w:fill="FFFFFF"/>
                <w:tblCellMar>
                  <w:top w:w="15" w:type="dxa"/>
                  <w:left w:w="15" w:type="dxa"/>
                  <w:bottom w:w="15" w:type="dxa"/>
                  <w:right w:w="15" w:type="dxa"/>
                </w:tblCellMar>
              </w:tblPrEx>
              <w:trPr>
                <w:jc w:val="center"/>
              </w:trPr>
              <w:tc>
                <w:tcPr>
                  <w:tcW w:w="0" w:type="auto"/>
                  <w:tcBorders>
                    <w:top w:val="outset" w:color="000000" w:sz="6" w:space="0"/>
                    <w:left w:val="outset" w:color="000000" w:sz="6" w:space="0"/>
                    <w:bottom w:val="outset" w:color="000000" w:sz="6" w:space="0"/>
                    <w:right w:val="outset" w:color="000000" w:sz="6" w:space="0"/>
                  </w:tcBorders>
                  <w:shd w:val="clear" w:color="auto" w:fill="FFFFFF"/>
                  <w:vAlign w:val="center"/>
                </w:tcPr>
                <w:p>
                  <w:pPr>
                    <w:pStyle w:val="2"/>
                    <w:keepNext w:val="0"/>
                    <w:keepLines w:val="0"/>
                    <w:widowControl/>
                    <w:suppressLineNumbers w:val="0"/>
                    <w:jc w:val="center"/>
                  </w:pPr>
                  <w:r>
                    <w:rPr>
                      <w:rStyle w:val="5"/>
                      <w:rFonts w:hint="eastAsia" w:ascii="宋体" w:hAnsi="宋体" w:eastAsia="宋体" w:cs="宋体"/>
                      <w:color w:val="000000"/>
                      <w:sz w:val="24"/>
                      <w:szCs w:val="24"/>
                    </w:rPr>
                    <w:t>专栏</w:t>
                  </w:r>
                  <w:r>
                    <w:rPr>
                      <w:rStyle w:val="5"/>
                      <w:color w:val="000000"/>
                      <w:sz w:val="24"/>
                      <w:szCs w:val="24"/>
                    </w:rPr>
                    <w:t>2  </w:t>
                  </w:r>
                  <w:r>
                    <w:rPr>
                      <w:rStyle w:val="5"/>
                      <w:rFonts w:hint="eastAsia" w:ascii="宋体" w:hAnsi="宋体" w:eastAsia="宋体" w:cs="宋体"/>
                      <w:color w:val="000000"/>
                      <w:sz w:val="24"/>
                      <w:szCs w:val="24"/>
                    </w:rPr>
                    <w:t>宽带网络优化提速</w:t>
                  </w:r>
                </w:p>
              </w:tc>
            </w:tr>
            <w:tr>
              <w:tblPrEx>
                <w:tblBorders>
                  <w:top w:val="single" w:color="000000" w:sz="6" w:space="0"/>
                  <w:left w:val="single" w:color="000000" w:sz="6" w:space="0"/>
                  <w:bottom w:val="single" w:color="000000" w:sz="6" w:space="0"/>
                  <w:right w:val="single" w:color="000000" w:sz="6" w:space="0"/>
                  <w:insideH w:val="outset" w:color="000000" w:sz="6" w:space="0"/>
                  <w:insideV w:val="outset" w:color="000000" w:sz="6" w:space="0"/>
                </w:tblBorders>
                <w:tblCellMar>
                  <w:top w:w="15" w:type="dxa"/>
                  <w:left w:w="15" w:type="dxa"/>
                  <w:bottom w:w="15" w:type="dxa"/>
                  <w:right w:w="15" w:type="dxa"/>
                </w:tblCellMar>
              </w:tblPrEx>
              <w:trPr>
                <w:jc w:val="center"/>
              </w:trPr>
              <w:tc>
                <w:tcPr>
                  <w:tcW w:w="0" w:type="auto"/>
                  <w:tcBorders>
                    <w:top w:val="outset" w:color="000000" w:sz="6" w:space="0"/>
                    <w:left w:val="outset" w:color="000000" w:sz="6" w:space="0"/>
                    <w:bottom w:val="outset" w:color="000000" w:sz="6" w:space="0"/>
                    <w:right w:val="outset" w:color="000000" w:sz="6" w:space="0"/>
                  </w:tcBorders>
                  <w:shd w:val="clear" w:color="auto" w:fill="FFFFFF"/>
                  <w:vAlign w:val="center"/>
                </w:tcPr>
                <w:p>
                  <w:pPr>
                    <w:keepNext w:val="0"/>
                    <w:keepLines w:val="0"/>
                    <w:widowControl/>
                    <w:suppressLineNumbers w:val="0"/>
                    <w:shd w:val="clear" w:fill="FFFFFF"/>
                    <w:jc w:val="left"/>
                  </w:pPr>
                  <w:r>
                    <w:rPr>
                      <w:rFonts w:ascii="宋体" w:hAnsi="宋体" w:eastAsia="宋体" w:cs="宋体"/>
                      <w:color w:val="000000"/>
                      <w:kern w:val="0"/>
                      <w:sz w:val="20"/>
                      <w:szCs w:val="20"/>
                      <w:lang w:val="en-US" w:eastAsia="zh-CN" w:bidi="ar"/>
                    </w:rPr>
                    <w:t>    </w:t>
                  </w:r>
                  <w:r>
                    <w:rPr>
                      <w:rFonts w:hint="eastAsia" w:ascii="宋体" w:hAnsi="宋体" w:eastAsia="宋体" w:cs="宋体"/>
                      <w:color w:val="000000"/>
                      <w:kern w:val="0"/>
                      <w:sz w:val="20"/>
                      <w:szCs w:val="20"/>
                      <w:lang w:val="en-US" w:eastAsia="zh-CN" w:bidi="ar"/>
                    </w:rPr>
                    <w:t>工程光纤城市建设。支持城市新建区域以光纤到户方式为主部署宽带网络，已建区域采用多种方式加快“光进铜退”改造，推进政府、学校、医疗卫生、科技园区、商务楼宇、宾馆酒店等单位的光纤宽带接入部署，提高接入速率。</w:t>
                  </w:r>
                  <w:r>
                    <w:rPr>
                      <w:rFonts w:ascii="宋体" w:hAnsi="宋体" w:eastAsia="宋体" w:cs="宋体"/>
                      <w:color w:val="000000"/>
                      <w:kern w:val="0"/>
                      <w:sz w:val="20"/>
                      <w:szCs w:val="20"/>
                      <w:lang w:val="en-US" w:eastAsia="zh-CN" w:bidi="ar"/>
                    </w:rPr>
                    <w:br w:type="textWrapping"/>
                  </w:r>
                  <w:r>
                    <w:rPr>
                      <w:rFonts w:ascii="宋体" w:hAnsi="宋体" w:eastAsia="宋体" w:cs="宋体"/>
                      <w:color w:val="000000"/>
                      <w:kern w:val="0"/>
                      <w:sz w:val="20"/>
                      <w:szCs w:val="20"/>
                      <w:lang w:val="en-US" w:eastAsia="zh-CN" w:bidi="ar"/>
                    </w:rPr>
                    <w:t>    </w:t>
                  </w:r>
                  <w:r>
                    <w:rPr>
                      <w:rFonts w:hint="eastAsia" w:ascii="宋体" w:hAnsi="宋体" w:eastAsia="宋体" w:cs="宋体"/>
                      <w:color w:val="000000"/>
                      <w:kern w:val="0"/>
                      <w:sz w:val="20"/>
                      <w:szCs w:val="20"/>
                      <w:lang w:val="en-US" w:eastAsia="zh-CN" w:bidi="ar"/>
                    </w:rPr>
                    <w:t>无线宽带网络建设。支持城市地区以</w:t>
                  </w:r>
                  <w:r>
                    <w:rPr>
                      <w:rFonts w:ascii="宋体" w:hAnsi="宋体" w:eastAsia="宋体" w:cs="宋体"/>
                      <w:color w:val="000000"/>
                      <w:kern w:val="0"/>
                      <w:sz w:val="20"/>
                      <w:szCs w:val="20"/>
                      <w:lang w:val="en-US" w:eastAsia="zh-CN" w:bidi="ar"/>
                    </w:rPr>
                    <w:t>3G/LTE</w:t>
                  </w:r>
                  <w:r>
                    <w:rPr>
                      <w:rFonts w:hint="eastAsia" w:ascii="宋体" w:hAnsi="宋体" w:eastAsia="宋体" w:cs="宋体"/>
                      <w:color w:val="000000"/>
                      <w:kern w:val="0"/>
                      <w:sz w:val="20"/>
                      <w:szCs w:val="20"/>
                      <w:lang w:val="en-US" w:eastAsia="zh-CN" w:bidi="ar"/>
                    </w:rPr>
                    <w:t>网络为主，辅以无线局域网建设无线宽带城市，持续扩大农村地区无线宽带网络的覆盖范围，加大高速公路、高速铁路的无线网络优化力度。</w:t>
                  </w:r>
                  <w:r>
                    <w:rPr>
                      <w:rFonts w:ascii="宋体" w:hAnsi="宋体" w:eastAsia="宋体" w:cs="宋体"/>
                      <w:color w:val="000000"/>
                      <w:kern w:val="0"/>
                      <w:sz w:val="20"/>
                      <w:szCs w:val="20"/>
                      <w:lang w:val="en-US" w:eastAsia="zh-CN" w:bidi="ar"/>
                    </w:rPr>
                    <w:br w:type="textWrapping"/>
                  </w:r>
                  <w:r>
                    <w:rPr>
                      <w:rFonts w:ascii="宋体" w:hAnsi="宋体" w:eastAsia="宋体" w:cs="宋体"/>
                      <w:color w:val="000000"/>
                      <w:kern w:val="0"/>
                      <w:sz w:val="20"/>
                      <w:szCs w:val="20"/>
                      <w:lang w:val="en-US" w:eastAsia="zh-CN" w:bidi="ar"/>
                    </w:rPr>
                    <w:t>    </w:t>
                  </w:r>
                  <w:r>
                    <w:rPr>
                      <w:rFonts w:hint="eastAsia" w:ascii="宋体" w:hAnsi="宋体" w:eastAsia="宋体" w:cs="宋体"/>
                      <w:color w:val="000000"/>
                      <w:kern w:val="0"/>
                      <w:sz w:val="20"/>
                      <w:szCs w:val="20"/>
                      <w:lang w:val="en-US" w:eastAsia="zh-CN" w:bidi="ar"/>
                    </w:rPr>
                    <w:t>下一代广播电视宽带网建设。采用超高速智能光纤和同轴光缆传输技术建设下一代广播电视宽带网，通过光纤到小区、光纤到自然村、光纤到楼等方式，结合同轴电缆入户，充分利用广播电视网海量下行带宽、室内多信息点分布的优势，满足不同用户对弹性接入带宽的需要，加快实现宽带网络优化提速，促进宽带普及。</w:t>
                  </w:r>
                  <w:r>
                    <w:rPr>
                      <w:rFonts w:ascii="宋体" w:hAnsi="宋体" w:eastAsia="宋体" w:cs="宋体"/>
                      <w:color w:val="000000"/>
                      <w:kern w:val="0"/>
                      <w:sz w:val="20"/>
                      <w:szCs w:val="20"/>
                      <w:lang w:val="en-US" w:eastAsia="zh-CN" w:bidi="ar"/>
                    </w:rPr>
                    <w:br w:type="textWrapping"/>
                  </w:r>
                  <w:r>
                    <w:rPr>
                      <w:rFonts w:ascii="宋体" w:hAnsi="宋体" w:eastAsia="宋体" w:cs="宋体"/>
                      <w:color w:val="000000"/>
                      <w:kern w:val="0"/>
                      <w:sz w:val="20"/>
                      <w:szCs w:val="20"/>
                      <w:lang w:val="en-US" w:eastAsia="zh-CN" w:bidi="ar"/>
                    </w:rPr>
                    <w:t>    </w:t>
                  </w:r>
                  <w:r>
                    <w:rPr>
                      <w:rFonts w:hint="eastAsia" w:ascii="宋体" w:hAnsi="宋体" w:eastAsia="宋体" w:cs="宋体"/>
                      <w:color w:val="000000"/>
                      <w:kern w:val="0"/>
                      <w:sz w:val="20"/>
                      <w:szCs w:val="20"/>
                      <w:lang w:val="en-US" w:eastAsia="zh-CN" w:bidi="ar"/>
                    </w:rPr>
                    <w:t>互联网骨干网优化。推进网络结构扁平化，扩展骨干链路带宽，提升承载能力。优化骨干网间直联点布局，探索交换中心发展模式，加强对网间互联质量和交换中心的监测，保障骨干网间互联质量，提高互联网服务提供商的接入速度。</w:t>
                  </w:r>
                  <w:r>
                    <w:rPr>
                      <w:rFonts w:ascii="宋体" w:hAnsi="宋体" w:eastAsia="宋体" w:cs="宋体"/>
                      <w:color w:val="000000"/>
                      <w:kern w:val="0"/>
                      <w:sz w:val="20"/>
                      <w:szCs w:val="20"/>
                      <w:lang w:val="en-US" w:eastAsia="zh-CN" w:bidi="ar"/>
                    </w:rPr>
                    <w:br w:type="textWrapping"/>
                  </w:r>
                  <w:r>
                    <w:rPr>
                      <w:rFonts w:ascii="宋体" w:hAnsi="宋体" w:eastAsia="宋体" w:cs="宋体"/>
                      <w:color w:val="000000"/>
                      <w:kern w:val="0"/>
                      <w:sz w:val="20"/>
                      <w:szCs w:val="20"/>
                      <w:lang w:val="en-US" w:eastAsia="zh-CN" w:bidi="ar"/>
                    </w:rPr>
                    <w:t>    </w:t>
                  </w:r>
                  <w:r>
                    <w:rPr>
                      <w:rFonts w:hint="eastAsia" w:ascii="宋体" w:hAnsi="宋体" w:eastAsia="宋体" w:cs="宋体"/>
                      <w:color w:val="000000"/>
                      <w:kern w:val="0"/>
                      <w:sz w:val="20"/>
                      <w:szCs w:val="20"/>
                      <w:lang w:val="en-US" w:eastAsia="zh-CN" w:bidi="ar"/>
                    </w:rPr>
                    <w:t>骨干传输网优化。适度超前建设超高速大容量光传输系统，持续提升骨干传输网络容量。适时引入和推广智能光传输网技术，提高资源调度的智能化水平。增加西部地区光缆路由密度，推进光缆网向格状网演进，提高国家干线网络安全性能。</w:t>
                  </w:r>
                </w:p>
              </w:tc>
            </w:tr>
          </w:tbl>
          <w:p>
            <w:pPr>
              <w:pStyle w:val="2"/>
              <w:keepNext w:val="0"/>
              <w:keepLines w:val="0"/>
              <w:widowControl/>
              <w:suppressLineNumbers w:val="0"/>
              <w:spacing w:line="432" w:lineRule="atLeast"/>
            </w:pPr>
            <w:r>
              <w:rPr>
                <w:rFonts w:hint="eastAsia" w:ascii="宋体" w:hAnsi="宋体" w:eastAsia="宋体" w:cs="宋体"/>
                <w:caps w:val="0"/>
                <w:color w:val="000000"/>
                <w:spacing w:val="0"/>
                <w:sz w:val="24"/>
                <w:szCs w:val="24"/>
                <w:u w:val="none"/>
              </w:rPr>
              <w:t>    （三）提高宽带网络应用水平。</w:t>
            </w:r>
            <w:r>
              <w:rPr>
                <w:rFonts w:hint="eastAsia" w:ascii="宋体" w:hAnsi="宋体" w:eastAsia="宋体" w:cs="宋体"/>
                <w:caps w:val="0"/>
                <w:color w:val="000000"/>
                <w:spacing w:val="0"/>
                <w:sz w:val="24"/>
                <w:szCs w:val="24"/>
                <w:u w:val="none"/>
              </w:rPr>
              <w:br w:type="textWrapping"/>
            </w:r>
            <w:r>
              <w:rPr>
                <w:rFonts w:hint="eastAsia" w:ascii="宋体" w:hAnsi="宋体" w:eastAsia="宋体" w:cs="宋体"/>
                <w:caps w:val="0"/>
                <w:color w:val="000000"/>
                <w:spacing w:val="0"/>
                <w:sz w:val="24"/>
                <w:szCs w:val="24"/>
                <w:u w:val="none"/>
              </w:rPr>
              <w:t>    经济发展。不断拓展和深化宽带在生产经营中的应用，加快企业宽带联网和基于网络的流程再造与业务创新，利用信息技术改造提升传统产业，实现网络化、智能化、集约化、绿色化发展，促进产业优化升级。不断创新宽带应用模式，培育新市场新业态，加快电子商务、现代物流、网络金融等现代服务业发展，壮大云计算、物联网、移动互联网、智能终端等新一代信息技术产业。行业专用通信要充分利用公众网络资源，满足宽带化发展需求，逐步减少专用通信网数量。</w:t>
            </w:r>
            <w:r>
              <w:rPr>
                <w:rFonts w:hint="eastAsia" w:ascii="宋体" w:hAnsi="宋体" w:eastAsia="宋体" w:cs="宋体"/>
                <w:caps w:val="0"/>
                <w:color w:val="000000"/>
                <w:spacing w:val="0"/>
                <w:sz w:val="24"/>
                <w:szCs w:val="24"/>
                <w:u w:val="none"/>
              </w:rPr>
              <w:br w:type="textWrapping"/>
            </w:r>
            <w:r>
              <w:rPr>
                <w:rFonts w:hint="eastAsia" w:ascii="宋体" w:hAnsi="宋体" w:eastAsia="宋体" w:cs="宋体"/>
                <w:caps w:val="0"/>
                <w:color w:val="000000"/>
                <w:spacing w:val="0"/>
                <w:sz w:val="24"/>
                <w:szCs w:val="24"/>
                <w:u w:val="none"/>
              </w:rPr>
              <w:t>    社会民生。着力深化宽带网络在教育、医疗、就业、社保等民生领域的应用。加快学校宽带网络覆盖，积极发展在线教育，实现优质教育资源共享。推动医疗卫生机构宽带联网，加速发展远程医疗和网络化医疗应用，促进医疗服务均等化。加快就业和社会保障信息服务体系建设，实现管理服务的全覆盖，推进社会保障卡应用，加快跨区域就业和社会保障信息互联互通。加强对信息化基础薄弱地区和特殊群体的宽带网络覆盖和服务支撑。</w:t>
            </w:r>
            <w:r>
              <w:rPr>
                <w:rFonts w:hint="eastAsia" w:ascii="宋体" w:hAnsi="宋体" w:eastAsia="宋体" w:cs="宋体"/>
                <w:caps w:val="0"/>
                <w:color w:val="000000"/>
                <w:spacing w:val="0"/>
                <w:sz w:val="24"/>
                <w:szCs w:val="24"/>
                <w:u w:val="none"/>
              </w:rPr>
              <w:br w:type="textWrapping"/>
            </w:r>
            <w:r>
              <w:rPr>
                <w:rFonts w:hint="eastAsia" w:ascii="宋体" w:hAnsi="宋体" w:eastAsia="宋体" w:cs="宋体"/>
                <w:caps w:val="0"/>
                <w:color w:val="000000"/>
                <w:spacing w:val="0"/>
                <w:sz w:val="24"/>
                <w:szCs w:val="24"/>
                <w:u w:val="none"/>
              </w:rPr>
              <w:t>    文化建设。加快文化馆（站）、图书馆、博物馆等公益性文化机构和重大文化工程的宽带联网，优化公共文化信息服务体系，大力发展公共数字文化。提升宽带网络对文化事业和文化创意产业的支撑能力，促进宽带网络和文化发展融合，发展数字文化产业等新型文化业态，增强文化传播能力，提高公共文化服务效能和文化产业规模化、集约化水平，推动文化大发展大繁荣。</w:t>
            </w:r>
            <w:r>
              <w:rPr>
                <w:rFonts w:hint="eastAsia" w:ascii="宋体" w:hAnsi="宋体" w:eastAsia="宋体" w:cs="宋体"/>
                <w:caps w:val="0"/>
                <w:color w:val="000000"/>
                <w:spacing w:val="0"/>
                <w:sz w:val="24"/>
                <w:szCs w:val="24"/>
                <w:u w:val="none"/>
              </w:rPr>
              <w:br w:type="textWrapping"/>
            </w:r>
            <w:r>
              <w:rPr>
                <w:rFonts w:hint="eastAsia" w:ascii="宋体" w:hAnsi="宋体" w:eastAsia="宋体" w:cs="宋体"/>
                <w:caps w:val="0"/>
                <w:color w:val="000000"/>
                <w:spacing w:val="0"/>
                <w:sz w:val="24"/>
                <w:szCs w:val="24"/>
                <w:u w:val="none"/>
              </w:rPr>
              <w:t>    国防建设。依托公众网络增强军用网络设施的安全可靠、应急响应和动态恢复能力。利用关键技术研发成果，提升军用网络的技术水平和能力。为军队遂行日常战备、训练演习和非战争军事行动适当预置接入和信道资源。完善公众网络和军用网络资源共享共用、应急组织调度的领导机制和联动工作机制。</w:t>
            </w:r>
            <w:r>
              <w:rPr>
                <w:rFonts w:hint="eastAsia" w:ascii="宋体" w:hAnsi="宋体" w:eastAsia="宋体" w:cs="宋体"/>
                <w:caps w:val="0"/>
                <w:color w:val="000000"/>
                <w:spacing w:val="0"/>
                <w:sz w:val="24"/>
                <w:szCs w:val="24"/>
                <w:u w:val="none"/>
              </w:rPr>
              <w:br w:type="textWrapping"/>
            </w:r>
            <w:r>
              <w:rPr>
                <w:rFonts w:hint="eastAsia" w:ascii="宋体" w:hAnsi="宋体" w:eastAsia="宋体" w:cs="宋体"/>
                <w:caps w:val="0"/>
                <w:color w:val="000000"/>
                <w:spacing w:val="0"/>
                <w:sz w:val="24"/>
                <w:szCs w:val="24"/>
                <w:u w:val="none"/>
              </w:rPr>
              <w:t>    应用普及。大力推进信息技术在教育教学中的应用，推进优质教育资源普遍共享，加强网络文明与网络安全教育，引导学生形成良好的用网习惯和正确的网络世界观。设立农村公共宽带互联网服务中心，开展宽带上网及应用技能培训。面向中小企业开展宽带应用技能培训及电子商务、网上营销等指导，鼓励企业利用宽带开展业务和商业模式创新。研发推广特殊人群专用信息终端和应用工具。</w:t>
            </w:r>
          </w:p>
          <w:tbl>
            <w:tblPr>
              <w:tblW w:w="4000" w:type="pct"/>
              <w:jc w:val="center"/>
              <w:tblBorders>
                <w:top w:val="single" w:color="000000" w:sz="6" w:space="0"/>
                <w:left w:val="single" w:color="000000" w:sz="6" w:space="0"/>
                <w:bottom w:val="single" w:color="000000" w:sz="6" w:space="0"/>
                <w:right w:val="single" w:color="000000" w:sz="6" w:space="0"/>
                <w:insideH w:val="outset" w:color="000000" w:sz="6" w:space="0"/>
                <w:insideV w:val="outset" w:color="000000" w:sz="6" w:space="0"/>
              </w:tblBorders>
              <w:shd w:val="clear" w:color="auto" w:fill="FFFFFF"/>
              <w:tblLayout w:type="autofit"/>
              <w:tblCellMar>
                <w:top w:w="15" w:type="dxa"/>
                <w:left w:w="15" w:type="dxa"/>
                <w:bottom w:w="15" w:type="dxa"/>
                <w:right w:w="15" w:type="dxa"/>
              </w:tblCellMar>
            </w:tblPr>
            <w:tblGrid>
              <w:gridCol w:w="6633"/>
            </w:tblGrid>
            <w:tr>
              <w:tblPrEx>
                <w:tblBorders>
                  <w:top w:val="single" w:color="000000" w:sz="6" w:space="0"/>
                  <w:left w:val="single" w:color="000000" w:sz="6" w:space="0"/>
                  <w:bottom w:val="single" w:color="000000" w:sz="6" w:space="0"/>
                  <w:right w:val="single" w:color="000000" w:sz="6" w:space="0"/>
                  <w:insideH w:val="outset" w:color="000000" w:sz="6" w:space="0"/>
                  <w:insideV w:val="outset" w:color="000000" w:sz="6" w:space="0"/>
                </w:tblBorders>
                <w:shd w:val="clear" w:color="auto" w:fill="FFFFFF"/>
                <w:tblCellMar>
                  <w:top w:w="15" w:type="dxa"/>
                  <w:left w:w="15" w:type="dxa"/>
                  <w:bottom w:w="15" w:type="dxa"/>
                  <w:right w:w="15" w:type="dxa"/>
                </w:tblCellMar>
              </w:tblPrEx>
              <w:trPr>
                <w:jc w:val="center"/>
              </w:trPr>
              <w:tc>
                <w:tcPr>
                  <w:tcW w:w="0" w:type="auto"/>
                  <w:tcBorders>
                    <w:top w:val="outset" w:color="000000" w:sz="6" w:space="0"/>
                    <w:left w:val="outset" w:color="000000" w:sz="6" w:space="0"/>
                    <w:bottom w:val="outset" w:color="000000" w:sz="6" w:space="0"/>
                    <w:right w:val="outset" w:color="000000" w:sz="6" w:space="0"/>
                  </w:tcBorders>
                  <w:shd w:val="clear" w:color="auto" w:fill="FFFFFF"/>
                  <w:vAlign w:val="center"/>
                </w:tcPr>
                <w:p>
                  <w:pPr>
                    <w:pStyle w:val="2"/>
                    <w:keepNext w:val="0"/>
                    <w:keepLines w:val="0"/>
                    <w:widowControl/>
                    <w:suppressLineNumbers w:val="0"/>
                    <w:jc w:val="center"/>
                  </w:pPr>
                  <w:r>
                    <w:rPr>
                      <w:rStyle w:val="5"/>
                      <w:rFonts w:hint="eastAsia" w:ascii="宋体" w:hAnsi="宋体" w:eastAsia="宋体" w:cs="宋体"/>
                      <w:color w:val="000000"/>
                      <w:sz w:val="24"/>
                      <w:szCs w:val="24"/>
                    </w:rPr>
                    <w:t>专栏</w:t>
                  </w:r>
                  <w:r>
                    <w:rPr>
                      <w:rStyle w:val="5"/>
                      <w:color w:val="000000"/>
                      <w:sz w:val="24"/>
                      <w:szCs w:val="24"/>
                    </w:rPr>
                    <w:t>3  </w:t>
                  </w:r>
                  <w:r>
                    <w:rPr>
                      <w:rStyle w:val="5"/>
                      <w:rFonts w:hint="eastAsia" w:ascii="宋体" w:hAnsi="宋体" w:eastAsia="宋体" w:cs="宋体"/>
                      <w:color w:val="000000"/>
                      <w:sz w:val="24"/>
                      <w:szCs w:val="24"/>
                    </w:rPr>
                    <w:t>中小企业宽带应用示范工程</w:t>
                  </w:r>
                </w:p>
              </w:tc>
            </w:tr>
            <w:tr>
              <w:tblPrEx>
                <w:tblBorders>
                  <w:top w:val="single" w:color="000000" w:sz="6" w:space="0"/>
                  <w:left w:val="single" w:color="000000" w:sz="6" w:space="0"/>
                  <w:bottom w:val="single" w:color="000000" w:sz="6" w:space="0"/>
                  <w:right w:val="single" w:color="000000" w:sz="6" w:space="0"/>
                  <w:insideH w:val="outset" w:color="000000" w:sz="6" w:space="0"/>
                  <w:insideV w:val="outset" w:color="000000" w:sz="6" w:space="0"/>
                </w:tblBorders>
                <w:tblCellMar>
                  <w:top w:w="15" w:type="dxa"/>
                  <w:left w:w="15" w:type="dxa"/>
                  <w:bottom w:w="15" w:type="dxa"/>
                  <w:right w:w="15" w:type="dxa"/>
                </w:tblCellMar>
              </w:tblPrEx>
              <w:trPr>
                <w:jc w:val="center"/>
              </w:trPr>
              <w:tc>
                <w:tcPr>
                  <w:tcW w:w="0" w:type="auto"/>
                  <w:tcBorders>
                    <w:top w:val="outset" w:color="000000" w:sz="6" w:space="0"/>
                    <w:left w:val="outset" w:color="000000" w:sz="6" w:space="0"/>
                    <w:bottom w:val="outset" w:color="000000" w:sz="6" w:space="0"/>
                    <w:right w:val="outset" w:color="000000" w:sz="6" w:space="0"/>
                  </w:tcBorders>
                  <w:shd w:val="clear" w:color="auto" w:fill="FFFFFF"/>
                  <w:vAlign w:val="center"/>
                </w:tcPr>
                <w:p>
                  <w:pPr>
                    <w:keepNext w:val="0"/>
                    <w:keepLines w:val="0"/>
                    <w:widowControl/>
                    <w:suppressLineNumbers w:val="0"/>
                    <w:shd w:val="clear" w:fill="FFFFFF"/>
                    <w:jc w:val="left"/>
                  </w:pPr>
                  <w:r>
                    <w:rPr>
                      <w:rFonts w:ascii="宋体" w:hAnsi="宋体" w:eastAsia="宋体" w:cs="宋体"/>
                      <w:color w:val="000000"/>
                      <w:kern w:val="0"/>
                      <w:sz w:val="20"/>
                      <w:szCs w:val="20"/>
                      <w:lang w:val="en-US" w:eastAsia="zh-CN" w:bidi="ar"/>
                    </w:rPr>
                    <w:t>    </w:t>
                  </w:r>
                  <w:r>
                    <w:rPr>
                      <w:rFonts w:hint="eastAsia" w:ascii="宋体" w:hAnsi="宋体" w:eastAsia="宋体" w:cs="宋体"/>
                      <w:color w:val="000000"/>
                      <w:kern w:val="0"/>
                      <w:sz w:val="20"/>
                      <w:szCs w:val="20"/>
                      <w:lang w:val="en-US" w:eastAsia="zh-CN" w:bidi="ar"/>
                    </w:rPr>
                    <w:t>支持中小企业宽带上网，推动企业将互联网融入其生产经营流程。支持建设面向中小企业的第三方电子商务平台，鼓励开展在线销售、采购、客户关系管理等活动。</w:t>
                  </w:r>
                </w:p>
              </w:tc>
            </w:tr>
          </w:tbl>
          <w:p>
            <w:pPr>
              <w:keepNext w:val="0"/>
              <w:keepLines w:val="0"/>
              <w:widowControl/>
              <w:suppressLineNumbers w:val="0"/>
              <w:spacing w:line="432" w:lineRule="atLeast"/>
              <w:ind w:left="0" w:firstLine="0"/>
              <w:jc w:val="left"/>
              <w:rPr>
                <w:rFonts w:hint="eastAsia" w:ascii="宋体" w:hAnsi="宋体" w:eastAsia="宋体" w:cs="宋体"/>
                <w:caps w:val="0"/>
                <w:color w:val="000000"/>
                <w:spacing w:val="0"/>
                <w:sz w:val="24"/>
                <w:szCs w:val="24"/>
                <w:u w:val="none"/>
              </w:rPr>
            </w:pPr>
          </w:p>
          <w:tbl>
            <w:tblPr>
              <w:tblW w:w="4000" w:type="pct"/>
              <w:jc w:val="center"/>
              <w:tblBorders>
                <w:top w:val="single" w:color="000000" w:sz="6" w:space="0"/>
                <w:left w:val="single" w:color="000000" w:sz="6" w:space="0"/>
                <w:bottom w:val="single" w:color="000000" w:sz="6" w:space="0"/>
                <w:right w:val="single" w:color="000000" w:sz="6" w:space="0"/>
                <w:insideH w:val="outset" w:color="000000" w:sz="6" w:space="0"/>
                <w:insideV w:val="outset" w:color="000000" w:sz="6" w:space="0"/>
              </w:tblBorders>
              <w:shd w:val="clear" w:color="auto" w:fill="FFFFFF"/>
              <w:tblLayout w:type="autofit"/>
              <w:tblCellMar>
                <w:top w:w="15" w:type="dxa"/>
                <w:left w:w="15" w:type="dxa"/>
                <w:bottom w:w="15" w:type="dxa"/>
                <w:right w:w="15" w:type="dxa"/>
              </w:tblCellMar>
            </w:tblPr>
            <w:tblGrid>
              <w:gridCol w:w="6633"/>
            </w:tblGrid>
            <w:tr>
              <w:tblPrEx>
                <w:tblBorders>
                  <w:top w:val="single" w:color="000000" w:sz="6" w:space="0"/>
                  <w:left w:val="single" w:color="000000" w:sz="6" w:space="0"/>
                  <w:bottom w:val="single" w:color="000000" w:sz="6" w:space="0"/>
                  <w:right w:val="single" w:color="000000" w:sz="6" w:space="0"/>
                  <w:insideH w:val="outset" w:color="000000" w:sz="6" w:space="0"/>
                  <w:insideV w:val="outset" w:color="000000" w:sz="6" w:space="0"/>
                </w:tblBorders>
                <w:shd w:val="clear" w:color="auto" w:fill="FFFFFF"/>
                <w:tblCellMar>
                  <w:top w:w="15" w:type="dxa"/>
                  <w:left w:w="15" w:type="dxa"/>
                  <w:bottom w:w="15" w:type="dxa"/>
                  <w:right w:w="15" w:type="dxa"/>
                </w:tblCellMar>
              </w:tblPrEx>
              <w:trPr>
                <w:jc w:val="center"/>
              </w:trPr>
              <w:tc>
                <w:tcPr>
                  <w:tcW w:w="0" w:type="auto"/>
                  <w:tcBorders>
                    <w:top w:val="outset" w:color="000000" w:sz="6" w:space="0"/>
                    <w:left w:val="outset" w:color="000000" w:sz="6" w:space="0"/>
                    <w:bottom w:val="outset" w:color="000000" w:sz="6" w:space="0"/>
                    <w:right w:val="outset" w:color="000000" w:sz="6" w:space="0"/>
                  </w:tcBorders>
                  <w:shd w:val="clear" w:color="auto" w:fill="FFFFFF"/>
                  <w:vAlign w:val="center"/>
                </w:tcPr>
                <w:p>
                  <w:pPr>
                    <w:pStyle w:val="2"/>
                    <w:keepNext w:val="0"/>
                    <w:keepLines w:val="0"/>
                    <w:widowControl/>
                    <w:suppressLineNumbers w:val="0"/>
                    <w:jc w:val="center"/>
                  </w:pPr>
                  <w:r>
                    <w:rPr>
                      <w:rStyle w:val="5"/>
                      <w:rFonts w:hint="eastAsia" w:ascii="宋体" w:hAnsi="宋体" w:eastAsia="宋体" w:cs="宋体"/>
                      <w:color w:val="000000"/>
                      <w:sz w:val="24"/>
                      <w:szCs w:val="24"/>
                    </w:rPr>
                    <w:t>专栏</w:t>
                  </w:r>
                  <w:r>
                    <w:rPr>
                      <w:rStyle w:val="5"/>
                      <w:color w:val="000000"/>
                      <w:sz w:val="24"/>
                      <w:szCs w:val="24"/>
                    </w:rPr>
                    <w:t>4  </w:t>
                  </w:r>
                  <w:r>
                    <w:rPr>
                      <w:rStyle w:val="5"/>
                      <w:rFonts w:hint="eastAsia" w:ascii="宋体" w:hAnsi="宋体" w:eastAsia="宋体" w:cs="宋体"/>
                      <w:color w:val="000000"/>
                      <w:sz w:val="24"/>
                      <w:szCs w:val="24"/>
                    </w:rPr>
                    <w:t>贫困学校和特殊教育机构宽带应用示范工程</w:t>
                  </w:r>
                </w:p>
              </w:tc>
            </w:tr>
            <w:tr>
              <w:tblPrEx>
                <w:tblBorders>
                  <w:top w:val="single" w:color="000000" w:sz="6" w:space="0"/>
                  <w:left w:val="single" w:color="000000" w:sz="6" w:space="0"/>
                  <w:bottom w:val="single" w:color="000000" w:sz="6" w:space="0"/>
                  <w:right w:val="single" w:color="000000" w:sz="6" w:space="0"/>
                  <w:insideH w:val="outset" w:color="000000" w:sz="6" w:space="0"/>
                  <w:insideV w:val="outset" w:color="000000" w:sz="6" w:space="0"/>
                </w:tblBorders>
                <w:tblCellMar>
                  <w:top w:w="15" w:type="dxa"/>
                  <w:left w:w="15" w:type="dxa"/>
                  <w:bottom w:w="15" w:type="dxa"/>
                  <w:right w:w="15" w:type="dxa"/>
                </w:tblCellMar>
              </w:tblPrEx>
              <w:trPr>
                <w:jc w:val="center"/>
              </w:trPr>
              <w:tc>
                <w:tcPr>
                  <w:tcW w:w="0" w:type="auto"/>
                  <w:tcBorders>
                    <w:top w:val="outset" w:color="000000" w:sz="6" w:space="0"/>
                    <w:left w:val="outset" w:color="000000" w:sz="6" w:space="0"/>
                    <w:bottom w:val="outset" w:color="000000" w:sz="6" w:space="0"/>
                    <w:right w:val="outset" w:color="000000" w:sz="6" w:space="0"/>
                  </w:tcBorders>
                  <w:shd w:val="clear" w:color="auto" w:fill="FFFFFF"/>
                  <w:vAlign w:val="center"/>
                </w:tcPr>
                <w:p>
                  <w:pPr>
                    <w:keepNext w:val="0"/>
                    <w:keepLines w:val="0"/>
                    <w:widowControl/>
                    <w:suppressLineNumbers w:val="0"/>
                    <w:shd w:val="clear" w:fill="FFFFFF"/>
                    <w:jc w:val="left"/>
                  </w:pPr>
                  <w:r>
                    <w:rPr>
                      <w:rFonts w:ascii="宋体" w:hAnsi="宋体" w:eastAsia="宋体" w:cs="宋体"/>
                      <w:color w:val="000000"/>
                      <w:kern w:val="0"/>
                      <w:sz w:val="20"/>
                      <w:szCs w:val="20"/>
                      <w:lang w:val="en-US" w:eastAsia="zh-CN" w:bidi="ar"/>
                    </w:rPr>
                    <w:t>    </w:t>
                  </w:r>
                  <w:r>
                    <w:rPr>
                      <w:rFonts w:hint="eastAsia" w:ascii="宋体" w:hAnsi="宋体" w:eastAsia="宋体" w:cs="宋体"/>
                      <w:color w:val="000000"/>
                      <w:kern w:val="0"/>
                      <w:sz w:val="20"/>
                      <w:szCs w:val="20"/>
                      <w:lang w:val="en-US" w:eastAsia="zh-CN" w:bidi="ar"/>
                    </w:rPr>
                    <w:t>支持灵活选用不同宽带接入技术，因地制宜为农村地区（尤其是贫困地区和少数民族地区）中小学和残疾人特殊教育机构建设宽带网络设施，开发简便易用的上网终端，丰富特色应用，加大信息助教、助残和扶贫力度，缩小数字鸿沟。</w:t>
                  </w:r>
                </w:p>
              </w:tc>
            </w:tr>
          </w:tbl>
          <w:p>
            <w:pPr>
              <w:keepNext w:val="0"/>
              <w:keepLines w:val="0"/>
              <w:widowControl/>
              <w:suppressLineNumbers w:val="0"/>
              <w:jc w:val="left"/>
            </w:pPr>
          </w:p>
          <w:tbl>
            <w:tblPr>
              <w:tblW w:w="4000" w:type="pct"/>
              <w:jc w:val="center"/>
              <w:tblBorders>
                <w:top w:val="single" w:color="000000" w:sz="6" w:space="0"/>
                <w:left w:val="single" w:color="000000" w:sz="6" w:space="0"/>
                <w:bottom w:val="single" w:color="000000" w:sz="6" w:space="0"/>
                <w:right w:val="single" w:color="000000" w:sz="6" w:space="0"/>
                <w:insideH w:val="outset" w:color="000000" w:sz="6" w:space="0"/>
                <w:insideV w:val="outset" w:color="000000" w:sz="6" w:space="0"/>
              </w:tblBorders>
              <w:shd w:val="clear" w:color="auto" w:fill="FFFFFF"/>
              <w:tblLayout w:type="autofit"/>
              <w:tblCellMar>
                <w:top w:w="15" w:type="dxa"/>
                <w:left w:w="15" w:type="dxa"/>
                <w:bottom w:w="15" w:type="dxa"/>
                <w:right w:w="15" w:type="dxa"/>
              </w:tblCellMar>
            </w:tblPr>
            <w:tblGrid>
              <w:gridCol w:w="6633"/>
            </w:tblGrid>
            <w:tr>
              <w:tblPrEx>
                <w:tblBorders>
                  <w:top w:val="single" w:color="000000" w:sz="6" w:space="0"/>
                  <w:left w:val="single" w:color="000000" w:sz="6" w:space="0"/>
                  <w:bottom w:val="single" w:color="000000" w:sz="6" w:space="0"/>
                  <w:right w:val="single" w:color="000000" w:sz="6" w:space="0"/>
                  <w:insideH w:val="outset" w:color="000000" w:sz="6" w:space="0"/>
                  <w:insideV w:val="outset" w:color="000000" w:sz="6" w:space="0"/>
                </w:tblBorders>
                <w:shd w:val="clear" w:color="auto" w:fill="FFFFFF"/>
                <w:tblCellMar>
                  <w:top w:w="15" w:type="dxa"/>
                  <w:left w:w="15" w:type="dxa"/>
                  <w:bottom w:w="15" w:type="dxa"/>
                  <w:right w:w="15" w:type="dxa"/>
                </w:tblCellMar>
              </w:tblPrEx>
              <w:trPr>
                <w:jc w:val="center"/>
              </w:trPr>
              <w:tc>
                <w:tcPr>
                  <w:tcW w:w="0" w:type="auto"/>
                  <w:tcBorders>
                    <w:top w:val="outset" w:color="000000" w:sz="6" w:space="0"/>
                    <w:left w:val="outset" w:color="000000" w:sz="6" w:space="0"/>
                    <w:bottom w:val="outset" w:color="000000" w:sz="6" w:space="0"/>
                    <w:right w:val="outset" w:color="000000" w:sz="6" w:space="0"/>
                  </w:tcBorders>
                  <w:shd w:val="clear" w:color="auto" w:fill="FFFFFF"/>
                  <w:vAlign w:val="center"/>
                </w:tcPr>
                <w:p>
                  <w:pPr>
                    <w:pStyle w:val="2"/>
                    <w:keepNext w:val="0"/>
                    <w:keepLines w:val="0"/>
                    <w:widowControl/>
                    <w:suppressLineNumbers w:val="0"/>
                    <w:jc w:val="center"/>
                  </w:pPr>
                  <w:r>
                    <w:rPr>
                      <w:rStyle w:val="5"/>
                      <w:rFonts w:hint="eastAsia" w:ascii="宋体" w:hAnsi="宋体" w:eastAsia="宋体" w:cs="宋体"/>
                      <w:color w:val="000000"/>
                      <w:sz w:val="24"/>
                      <w:szCs w:val="24"/>
                    </w:rPr>
                    <w:t>专栏</w:t>
                  </w:r>
                  <w:r>
                    <w:rPr>
                      <w:rStyle w:val="5"/>
                      <w:color w:val="000000"/>
                      <w:sz w:val="24"/>
                      <w:szCs w:val="24"/>
                    </w:rPr>
                    <w:t>5  </w:t>
                  </w:r>
                  <w:r>
                    <w:rPr>
                      <w:rStyle w:val="5"/>
                      <w:rFonts w:hint="eastAsia" w:ascii="宋体" w:hAnsi="宋体" w:eastAsia="宋体" w:cs="宋体"/>
                      <w:color w:val="000000"/>
                      <w:sz w:val="24"/>
                      <w:szCs w:val="24"/>
                    </w:rPr>
                    <w:t>数字文化宽带应用示范工程</w:t>
                  </w:r>
                </w:p>
              </w:tc>
            </w:tr>
            <w:tr>
              <w:tblPrEx>
                <w:tblBorders>
                  <w:top w:val="single" w:color="000000" w:sz="6" w:space="0"/>
                  <w:left w:val="single" w:color="000000" w:sz="6" w:space="0"/>
                  <w:bottom w:val="single" w:color="000000" w:sz="6" w:space="0"/>
                  <w:right w:val="single" w:color="000000" w:sz="6" w:space="0"/>
                  <w:insideH w:val="outset" w:color="000000" w:sz="6" w:space="0"/>
                  <w:insideV w:val="outset" w:color="000000" w:sz="6" w:space="0"/>
                </w:tblBorders>
                <w:tblCellMar>
                  <w:top w:w="15" w:type="dxa"/>
                  <w:left w:w="15" w:type="dxa"/>
                  <w:bottom w:w="15" w:type="dxa"/>
                  <w:right w:w="15" w:type="dxa"/>
                </w:tblCellMar>
              </w:tblPrEx>
              <w:trPr>
                <w:jc w:val="center"/>
              </w:trPr>
              <w:tc>
                <w:tcPr>
                  <w:tcW w:w="0" w:type="auto"/>
                  <w:tcBorders>
                    <w:top w:val="outset" w:color="000000" w:sz="6" w:space="0"/>
                    <w:left w:val="outset" w:color="000000" w:sz="6" w:space="0"/>
                    <w:bottom w:val="outset" w:color="000000" w:sz="6" w:space="0"/>
                    <w:right w:val="outset" w:color="000000" w:sz="6" w:space="0"/>
                  </w:tcBorders>
                  <w:shd w:val="clear" w:color="auto" w:fill="FFFFFF"/>
                  <w:vAlign w:val="center"/>
                </w:tcPr>
                <w:p>
                  <w:pPr>
                    <w:pStyle w:val="2"/>
                    <w:keepNext w:val="0"/>
                    <w:keepLines w:val="0"/>
                    <w:widowControl/>
                    <w:suppressLineNumbers w:val="0"/>
                    <w:ind w:left="0" w:firstLine="420"/>
                    <w:jc w:val="left"/>
                  </w:pPr>
                  <w:r>
                    <w:rPr>
                      <w:rFonts w:hint="eastAsia" w:ascii="宋体" w:hAnsi="宋体" w:eastAsia="宋体" w:cs="宋体"/>
                      <w:color w:val="000000"/>
                      <w:sz w:val="20"/>
                      <w:szCs w:val="20"/>
                    </w:rPr>
                    <w:t>建设可智能适配不同宽带接入网络和终端的广播影视、文化馆、图书馆、博物馆等数字文化内容平台，提高数字文化内容平台的宽带联网和互联互通水平，结合宽带网络能力提升创新数字文化服务业态，丰富各类数字文化应用，开发数字文化应用智能终端，开展各类数字文化宽带应用示范，促进宽带网络和文化发展融合，增强文化传播能力。</w:t>
                  </w:r>
                </w:p>
              </w:tc>
            </w:tr>
          </w:tbl>
          <w:p>
            <w:pPr>
              <w:pStyle w:val="2"/>
              <w:keepNext w:val="0"/>
              <w:keepLines w:val="0"/>
              <w:widowControl/>
              <w:suppressLineNumbers w:val="0"/>
              <w:spacing w:line="432" w:lineRule="atLeast"/>
              <w:jc w:val="left"/>
            </w:pPr>
            <w:r>
              <w:rPr>
                <w:rFonts w:hint="eastAsia" w:ascii="宋体" w:hAnsi="宋体" w:eastAsia="宋体" w:cs="宋体"/>
                <w:caps w:val="0"/>
                <w:color w:val="000000"/>
                <w:spacing w:val="0"/>
                <w:sz w:val="24"/>
                <w:szCs w:val="24"/>
                <w:u w:val="none"/>
              </w:rPr>
              <w:t>    （四）促进宽带网络产业链不断完善。</w:t>
            </w:r>
            <w:r>
              <w:rPr>
                <w:rFonts w:hint="eastAsia" w:ascii="宋体" w:hAnsi="宋体" w:eastAsia="宋体" w:cs="宋体"/>
                <w:caps w:val="0"/>
                <w:color w:val="000000"/>
                <w:spacing w:val="0"/>
                <w:sz w:val="24"/>
                <w:szCs w:val="24"/>
                <w:u w:val="none"/>
              </w:rPr>
              <w:br w:type="textWrapping"/>
            </w:r>
            <w:r>
              <w:rPr>
                <w:rFonts w:hint="eastAsia" w:ascii="宋体" w:hAnsi="宋体" w:eastAsia="宋体" w:cs="宋体"/>
                <w:caps w:val="0"/>
                <w:color w:val="000000"/>
                <w:spacing w:val="0"/>
                <w:sz w:val="24"/>
                <w:szCs w:val="24"/>
                <w:u w:val="none"/>
              </w:rPr>
              <w:t>    关键技术研发。推进实施新一代宽带无线移动通信网、下一代互联网等专项和863计划、科技支撑计划等。加强更高速光纤宽带接入、超高速大容量光传输、超大容量路由交换、数字家庭、大规模资源管理调度和数据处理、新一代万维网（Web）、新型人机交互、绿色节能、量子通信等领域关键技术研发，着力突破宽带网络关键核心技术，加速形成自主知识产权。进一步完善宽带网络标准体系，积极参与相关国际标准和规范的研究制定。</w:t>
            </w:r>
            <w:r>
              <w:rPr>
                <w:rFonts w:hint="eastAsia" w:ascii="宋体" w:hAnsi="宋体" w:eastAsia="宋体" w:cs="宋体"/>
                <w:caps w:val="0"/>
                <w:color w:val="000000"/>
                <w:spacing w:val="0"/>
                <w:sz w:val="24"/>
                <w:szCs w:val="24"/>
                <w:u w:val="none"/>
              </w:rPr>
              <w:br w:type="textWrapping"/>
            </w:r>
            <w:r>
              <w:rPr>
                <w:rFonts w:hint="eastAsia" w:ascii="宋体" w:hAnsi="宋体" w:eastAsia="宋体" w:cs="宋体"/>
                <w:caps w:val="0"/>
                <w:color w:val="000000"/>
                <w:spacing w:val="0"/>
                <w:sz w:val="24"/>
                <w:szCs w:val="24"/>
                <w:u w:val="none"/>
              </w:rPr>
              <w:t>    重大产品产业化。在光通信、新一代移动通信、下一代互联网、下一代广播电视网、移动互联网、云计算、数字家庭等重点领域，加大对关键设备核心芯片、高端光电子器件、操作系统等高端产品研发及产业化的支持力度。支持宽带网络核心设备研制、产业化及示范应用，着力突破产业瓶颈，提升自主发展能力。鼓励组建重点领域技术产业联盟，完善产业链上下游协作，推动产业协同创新。</w:t>
            </w:r>
            <w:r>
              <w:rPr>
                <w:rFonts w:hint="eastAsia" w:ascii="宋体" w:hAnsi="宋体" w:eastAsia="宋体" w:cs="宋体"/>
                <w:caps w:val="0"/>
                <w:color w:val="000000"/>
                <w:spacing w:val="0"/>
                <w:sz w:val="24"/>
                <w:szCs w:val="24"/>
                <w:u w:val="none"/>
              </w:rPr>
              <w:br w:type="textWrapping"/>
            </w:r>
            <w:r>
              <w:rPr>
                <w:rFonts w:hint="eastAsia" w:ascii="宋体" w:hAnsi="宋体" w:eastAsia="宋体" w:cs="宋体"/>
                <w:caps w:val="0"/>
                <w:color w:val="000000"/>
                <w:spacing w:val="0"/>
                <w:sz w:val="24"/>
                <w:szCs w:val="24"/>
                <w:u w:val="none"/>
              </w:rPr>
              <w:t>    智能终端研制。充分发挥无线和有线宽带网络能力，面向教育、医疗卫生、交通、家居、节能环保、公共安全等重点领域，积极发展物美价廉的移动终端、互联网电视、平板电脑等多种形态的上网终端产品。推动移动互联网操作系统、核心芯片、关键器件等的研发创新。加快3G、TD－LTE及其他技术制式的多模智能终端研发与推广应用。</w:t>
            </w:r>
            <w:r>
              <w:rPr>
                <w:rFonts w:hint="eastAsia" w:ascii="宋体" w:hAnsi="宋体" w:eastAsia="宋体" w:cs="宋体"/>
                <w:caps w:val="0"/>
                <w:color w:val="000000"/>
                <w:spacing w:val="0"/>
                <w:sz w:val="24"/>
                <w:szCs w:val="24"/>
                <w:u w:val="none"/>
              </w:rPr>
              <w:br w:type="textWrapping"/>
            </w:r>
            <w:r>
              <w:rPr>
                <w:rFonts w:hint="eastAsia" w:ascii="宋体" w:hAnsi="宋体" w:eastAsia="宋体" w:cs="宋体"/>
                <w:caps w:val="0"/>
                <w:color w:val="000000"/>
                <w:spacing w:val="0"/>
                <w:sz w:val="24"/>
                <w:szCs w:val="24"/>
                <w:u w:val="none"/>
              </w:rPr>
              <w:t>    支撑平台建设。充分整合现有资源，在宽带网络相关技术领域，推动国家工程中心、实验室等产业创新能力平台建设。研究制定宽带网络发展评测指标体系，构建覆盖全国的宽带网络信息测试与采集系统，实现宽带网络性能常态化监测。</w:t>
            </w:r>
          </w:p>
          <w:tbl>
            <w:tblPr>
              <w:tblW w:w="4000" w:type="pct"/>
              <w:jc w:val="center"/>
              <w:tblBorders>
                <w:top w:val="single" w:color="000000" w:sz="6" w:space="0"/>
                <w:left w:val="single" w:color="000000" w:sz="6" w:space="0"/>
                <w:bottom w:val="single" w:color="000000" w:sz="6" w:space="0"/>
                <w:right w:val="single" w:color="000000" w:sz="6" w:space="0"/>
                <w:insideH w:val="outset" w:color="000000" w:sz="6" w:space="0"/>
                <w:insideV w:val="outset" w:color="000000" w:sz="6" w:space="0"/>
              </w:tblBorders>
              <w:shd w:val="clear" w:color="auto" w:fill="FFFFFF"/>
              <w:tblLayout w:type="autofit"/>
              <w:tblCellMar>
                <w:top w:w="15" w:type="dxa"/>
                <w:left w:w="15" w:type="dxa"/>
                <w:bottom w:w="15" w:type="dxa"/>
                <w:right w:w="15" w:type="dxa"/>
              </w:tblCellMar>
            </w:tblPr>
            <w:tblGrid>
              <w:gridCol w:w="6633"/>
            </w:tblGrid>
            <w:tr>
              <w:tblPrEx>
                <w:tblBorders>
                  <w:top w:val="single" w:color="000000" w:sz="6" w:space="0"/>
                  <w:left w:val="single" w:color="000000" w:sz="6" w:space="0"/>
                  <w:bottom w:val="single" w:color="000000" w:sz="6" w:space="0"/>
                  <w:right w:val="single" w:color="000000" w:sz="6" w:space="0"/>
                  <w:insideH w:val="outset" w:color="000000" w:sz="6" w:space="0"/>
                  <w:insideV w:val="outset" w:color="000000" w:sz="6" w:space="0"/>
                </w:tblBorders>
                <w:shd w:val="clear" w:color="auto" w:fill="FFFFFF"/>
                <w:tblCellMar>
                  <w:top w:w="15" w:type="dxa"/>
                  <w:left w:w="15" w:type="dxa"/>
                  <w:bottom w:w="15" w:type="dxa"/>
                  <w:right w:w="15" w:type="dxa"/>
                </w:tblCellMar>
              </w:tblPrEx>
              <w:trPr>
                <w:jc w:val="center"/>
              </w:trPr>
              <w:tc>
                <w:tcPr>
                  <w:tcW w:w="0" w:type="auto"/>
                  <w:tcBorders>
                    <w:top w:val="outset" w:color="000000" w:sz="6" w:space="0"/>
                    <w:left w:val="outset" w:color="000000" w:sz="6" w:space="0"/>
                    <w:bottom w:val="outset" w:color="000000" w:sz="6" w:space="0"/>
                    <w:right w:val="outset" w:color="000000" w:sz="6" w:space="0"/>
                  </w:tcBorders>
                  <w:shd w:val="clear" w:color="auto" w:fill="FFFFFF"/>
                  <w:vAlign w:val="center"/>
                </w:tcPr>
                <w:p>
                  <w:pPr>
                    <w:pStyle w:val="2"/>
                    <w:keepNext w:val="0"/>
                    <w:keepLines w:val="0"/>
                    <w:widowControl/>
                    <w:suppressLineNumbers w:val="0"/>
                    <w:jc w:val="center"/>
                  </w:pPr>
                  <w:r>
                    <w:rPr>
                      <w:rStyle w:val="5"/>
                      <w:rFonts w:hint="eastAsia" w:ascii="宋体" w:hAnsi="宋体" w:eastAsia="宋体" w:cs="宋体"/>
                      <w:color w:val="000000"/>
                      <w:sz w:val="24"/>
                      <w:szCs w:val="24"/>
                    </w:rPr>
                    <w:t>专栏6  宽带核心设备研制产业化工程</w:t>
                  </w:r>
                </w:p>
              </w:tc>
            </w:tr>
            <w:tr>
              <w:tblPrEx>
                <w:tblBorders>
                  <w:top w:val="single" w:color="000000" w:sz="6" w:space="0"/>
                  <w:left w:val="single" w:color="000000" w:sz="6" w:space="0"/>
                  <w:bottom w:val="single" w:color="000000" w:sz="6" w:space="0"/>
                  <w:right w:val="single" w:color="000000" w:sz="6" w:space="0"/>
                  <w:insideH w:val="outset" w:color="000000" w:sz="6" w:space="0"/>
                  <w:insideV w:val="outset" w:color="000000" w:sz="6" w:space="0"/>
                </w:tblBorders>
                <w:tblCellMar>
                  <w:top w:w="15" w:type="dxa"/>
                  <w:left w:w="15" w:type="dxa"/>
                  <w:bottom w:w="15" w:type="dxa"/>
                  <w:right w:w="15" w:type="dxa"/>
                </w:tblCellMar>
              </w:tblPrEx>
              <w:trPr>
                <w:jc w:val="center"/>
              </w:trPr>
              <w:tc>
                <w:tcPr>
                  <w:tcW w:w="0" w:type="auto"/>
                  <w:tcBorders>
                    <w:top w:val="outset" w:color="000000" w:sz="6" w:space="0"/>
                    <w:left w:val="outset" w:color="000000" w:sz="6" w:space="0"/>
                    <w:bottom w:val="outset" w:color="000000" w:sz="6" w:space="0"/>
                    <w:right w:val="outset" w:color="000000" w:sz="6" w:space="0"/>
                  </w:tcBorders>
                  <w:shd w:val="clear" w:color="auto" w:fill="FFFFFF"/>
                  <w:vAlign w:val="center"/>
                </w:tcPr>
                <w:p>
                  <w:pPr>
                    <w:keepNext w:val="0"/>
                    <w:keepLines w:val="0"/>
                    <w:widowControl/>
                    <w:suppressLineNumbers w:val="0"/>
                    <w:shd w:val="clear" w:fill="FFFFFF"/>
                    <w:jc w:val="left"/>
                  </w:pPr>
                  <w:r>
                    <w:rPr>
                      <w:rFonts w:ascii="宋体" w:hAnsi="宋体" w:eastAsia="宋体" w:cs="宋体"/>
                      <w:color w:val="000000"/>
                      <w:kern w:val="0"/>
                      <w:sz w:val="20"/>
                      <w:szCs w:val="20"/>
                      <w:lang w:val="en-US" w:eastAsia="zh-CN" w:bidi="ar"/>
                    </w:rPr>
                    <w:t>    </w:t>
                  </w:r>
                  <w:r>
                    <w:rPr>
                      <w:rFonts w:hint="default" w:ascii="楷体_GB2312" w:hAnsi="宋体" w:eastAsia="楷体_GB2312" w:cs="楷体_GB2312"/>
                      <w:color w:val="000000"/>
                      <w:kern w:val="0"/>
                      <w:sz w:val="20"/>
                      <w:szCs w:val="20"/>
                      <w:lang w:val="en-US" w:eastAsia="zh-CN" w:bidi="ar"/>
                    </w:rPr>
                    <w:t>光纤宽带接入核心设备研制与示范。</w:t>
                  </w:r>
                  <w:r>
                    <w:rPr>
                      <w:rFonts w:hint="eastAsia" w:ascii="宋体" w:hAnsi="宋体" w:eastAsia="宋体" w:cs="宋体"/>
                      <w:color w:val="000000"/>
                      <w:kern w:val="0"/>
                      <w:sz w:val="20"/>
                      <w:szCs w:val="20"/>
                      <w:lang w:val="en-US" w:eastAsia="zh-CN" w:bidi="ar"/>
                    </w:rPr>
                    <w:t>突破大容量、高带宽、长距离的新一代光纤接入网关键技术，研制光接入网设备核心器件芯片，推动智能光分配网络和海量数据管理系统的成熟与产业化，开发测试平台，开展示范应用。</w:t>
                  </w:r>
                  <w:r>
                    <w:rPr>
                      <w:rFonts w:hint="eastAsia" w:ascii="宋体" w:hAnsi="宋体" w:eastAsia="宋体" w:cs="宋体"/>
                      <w:color w:val="000000"/>
                      <w:kern w:val="0"/>
                      <w:sz w:val="20"/>
                      <w:szCs w:val="20"/>
                      <w:lang w:val="en-US" w:eastAsia="zh-CN" w:bidi="ar"/>
                    </w:rPr>
                    <w:br w:type="textWrapping"/>
                  </w:r>
                  <w:r>
                    <w:rPr>
                      <w:rFonts w:hint="eastAsia" w:ascii="宋体" w:hAnsi="宋体" w:eastAsia="宋体" w:cs="宋体"/>
                      <w:color w:val="000000"/>
                      <w:kern w:val="0"/>
                      <w:sz w:val="20"/>
                      <w:szCs w:val="20"/>
                      <w:lang w:val="en-US" w:eastAsia="zh-CN" w:bidi="ar"/>
                    </w:rPr>
                    <w:t>    </w:t>
                  </w:r>
                  <w:r>
                    <w:rPr>
                      <w:rFonts w:hint="default" w:ascii="楷体_GB2312" w:hAnsi="宋体" w:eastAsia="楷体_GB2312" w:cs="楷体_GB2312"/>
                      <w:color w:val="000000"/>
                      <w:kern w:val="0"/>
                      <w:sz w:val="20"/>
                      <w:szCs w:val="20"/>
                      <w:lang w:val="en-US" w:eastAsia="zh-CN" w:bidi="ar"/>
                    </w:rPr>
                    <w:t>骨干光传输和路由交换设备研制和试点。</w:t>
                  </w:r>
                  <w:r>
                    <w:rPr>
                      <w:rFonts w:hint="eastAsia" w:ascii="宋体" w:hAnsi="宋体" w:eastAsia="宋体" w:cs="宋体"/>
                      <w:color w:val="000000"/>
                      <w:kern w:val="0"/>
                      <w:sz w:val="20"/>
                      <w:szCs w:val="20"/>
                      <w:lang w:val="en-US" w:eastAsia="zh-CN" w:bidi="ar"/>
                    </w:rPr>
                    <w:t>研制下一代光网络体系架构、超高速波分复用传输和智能组网、分组光传送网、高精度时间同步、超大容量路由交换等核心设备，突破相关核心芯片和高端光电器件技术，实现产业化。完善相关国际国内标准，开展技术试验和试点应用。</w:t>
                  </w:r>
                  <w:r>
                    <w:rPr>
                      <w:rFonts w:hint="eastAsia" w:ascii="宋体" w:hAnsi="宋体" w:eastAsia="宋体" w:cs="宋体"/>
                      <w:color w:val="000000"/>
                      <w:kern w:val="0"/>
                      <w:sz w:val="20"/>
                      <w:szCs w:val="20"/>
                      <w:lang w:val="en-US" w:eastAsia="zh-CN" w:bidi="ar"/>
                    </w:rPr>
                    <w:br w:type="textWrapping"/>
                  </w:r>
                  <w:r>
                    <w:rPr>
                      <w:rFonts w:hint="eastAsia" w:ascii="宋体" w:hAnsi="宋体" w:eastAsia="宋体" w:cs="宋体"/>
                      <w:color w:val="000000"/>
                      <w:kern w:val="0"/>
                      <w:sz w:val="20"/>
                      <w:szCs w:val="20"/>
                      <w:lang w:val="en-US" w:eastAsia="zh-CN" w:bidi="ar"/>
                    </w:rPr>
                    <w:t>    </w:t>
                  </w:r>
                  <w:r>
                    <w:rPr>
                      <w:rFonts w:hint="default" w:ascii="楷体_GB2312" w:hAnsi="宋体" w:eastAsia="楷体_GB2312" w:cs="楷体_GB2312"/>
                      <w:color w:val="000000"/>
                      <w:kern w:val="0"/>
                      <w:sz w:val="20"/>
                      <w:szCs w:val="20"/>
                      <w:lang w:val="en-US" w:eastAsia="zh-CN" w:bidi="ar"/>
                    </w:rPr>
                    <w:t>宽带接入智能终端研发和产业化。</w:t>
                  </w:r>
                  <w:r>
                    <w:rPr>
                      <w:rFonts w:hint="eastAsia" w:ascii="宋体" w:hAnsi="宋体" w:eastAsia="宋体" w:cs="宋体"/>
                      <w:color w:val="000000"/>
                      <w:kern w:val="0"/>
                      <w:sz w:val="20"/>
                      <w:szCs w:val="20"/>
                      <w:lang w:val="en-US" w:eastAsia="zh-CN" w:bidi="ar"/>
                    </w:rPr>
                    <w:t>面向智能手机、智能电视、智能机顶盒、平板电脑等多类型终端和数字家庭网关，组织开展自主操作系统和配套应用的规模商用。突破智能终端处理器芯片、新一代Web、多模态人机交互、多模智能终端和多屏智能切换等关键技术。</w:t>
                  </w:r>
                </w:p>
              </w:tc>
            </w:tr>
          </w:tbl>
          <w:p>
            <w:pPr>
              <w:keepNext w:val="0"/>
              <w:keepLines w:val="0"/>
              <w:widowControl/>
              <w:suppressLineNumbers w:val="0"/>
              <w:jc w:val="left"/>
            </w:pPr>
          </w:p>
          <w:tbl>
            <w:tblPr>
              <w:tblW w:w="4000" w:type="pct"/>
              <w:jc w:val="center"/>
              <w:tblBorders>
                <w:top w:val="single" w:color="000000" w:sz="6" w:space="0"/>
                <w:left w:val="single" w:color="000000" w:sz="6" w:space="0"/>
                <w:bottom w:val="single" w:color="000000" w:sz="6" w:space="0"/>
                <w:right w:val="single" w:color="000000" w:sz="6" w:space="0"/>
                <w:insideH w:val="outset" w:color="000000" w:sz="6" w:space="0"/>
                <w:insideV w:val="outset" w:color="000000" w:sz="6" w:space="0"/>
              </w:tblBorders>
              <w:shd w:val="clear" w:color="auto" w:fill="FFFFFF"/>
              <w:tblLayout w:type="autofit"/>
              <w:tblCellMar>
                <w:top w:w="15" w:type="dxa"/>
                <w:left w:w="15" w:type="dxa"/>
                <w:bottom w:w="15" w:type="dxa"/>
                <w:right w:w="15" w:type="dxa"/>
              </w:tblCellMar>
            </w:tblPr>
            <w:tblGrid>
              <w:gridCol w:w="6633"/>
            </w:tblGrid>
            <w:tr>
              <w:tblPrEx>
                <w:tblBorders>
                  <w:top w:val="single" w:color="000000" w:sz="6" w:space="0"/>
                  <w:left w:val="single" w:color="000000" w:sz="6" w:space="0"/>
                  <w:bottom w:val="single" w:color="000000" w:sz="6" w:space="0"/>
                  <w:right w:val="single" w:color="000000" w:sz="6" w:space="0"/>
                  <w:insideH w:val="outset" w:color="000000" w:sz="6" w:space="0"/>
                  <w:insideV w:val="outset" w:color="000000" w:sz="6" w:space="0"/>
                </w:tblBorders>
                <w:shd w:val="clear" w:color="auto" w:fill="FFFFFF"/>
                <w:tblCellMar>
                  <w:top w:w="15" w:type="dxa"/>
                  <w:left w:w="15" w:type="dxa"/>
                  <w:bottom w:w="15" w:type="dxa"/>
                  <w:right w:w="15" w:type="dxa"/>
                </w:tblCellMar>
              </w:tblPrEx>
              <w:trPr>
                <w:jc w:val="center"/>
              </w:trPr>
              <w:tc>
                <w:tcPr>
                  <w:tcW w:w="0" w:type="auto"/>
                  <w:tcBorders>
                    <w:top w:val="outset" w:color="000000" w:sz="6" w:space="0"/>
                    <w:left w:val="outset" w:color="000000" w:sz="6" w:space="0"/>
                    <w:bottom w:val="outset" w:color="000000" w:sz="6" w:space="0"/>
                    <w:right w:val="outset" w:color="000000" w:sz="6" w:space="0"/>
                  </w:tcBorders>
                  <w:shd w:val="clear" w:color="auto" w:fill="FFFFFF"/>
                  <w:vAlign w:val="center"/>
                </w:tcPr>
                <w:p>
                  <w:pPr>
                    <w:pStyle w:val="2"/>
                    <w:keepNext w:val="0"/>
                    <w:keepLines w:val="0"/>
                    <w:widowControl/>
                    <w:suppressLineNumbers w:val="0"/>
                    <w:jc w:val="center"/>
                  </w:pPr>
                  <w:r>
                    <w:rPr>
                      <w:rStyle w:val="5"/>
                      <w:rFonts w:hint="eastAsia" w:ascii="宋体" w:hAnsi="宋体" w:eastAsia="宋体" w:cs="宋体"/>
                      <w:color w:val="000000"/>
                      <w:sz w:val="24"/>
                      <w:szCs w:val="24"/>
                    </w:rPr>
                    <w:t>专栏7  “宽带中国”地图建设工程</w:t>
                  </w:r>
                </w:p>
              </w:tc>
            </w:tr>
            <w:tr>
              <w:tblPrEx>
                <w:tblBorders>
                  <w:top w:val="single" w:color="000000" w:sz="6" w:space="0"/>
                  <w:left w:val="single" w:color="000000" w:sz="6" w:space="0"/>
                  <w:bottom w:val="single" w:color="000000" w:sz="6" w:space="0"/>
                  <w:right w:val="single" w:color="000000" w:sz="6" w:space="0"/>
                  <w:insideH w:val="outset" w:color="000000" w:sz="6" w:space="0"/>
                  <w:insideV w:val="outset" w:color="000000" w:sz="6" w:space="0"/>
                </w:tblBorders>
                <w:tblCellMar>
                  <w:top w:w="15" w:type="dxa"/>
                  <w:left w:w="15" w:type="dxa"/>
                  <w:bottom w:w="15" w:type="dxa"/>
                  <w:right w:w="15" w:type="dxa"/>
                </w:tblCellMar>
              </w:tblPrEx>
              <w:trPr>
                <w:jc w:val="center"/>
              </w:trPr>
              <w:tc>
                <w:tcPr>
                  <w:tcW w:w="0" w:type="auto"/>
                  <w:tcBorders>
                    <w:top w:val="outset" w:color="000000" w:sz="6" w:space="0"/>
                    <w:left w:val="outset" w:color="000000" w:sz="6" w:space="0"/>
                    <w:bottom w:val="outset" w:color="000000" w:sz="6" w:space="0"/>
                    <w:right w:val="outset" w:color="000000" w:sz="6" w:space="0"/>
                  </w:tcBorders>
                  <w:shd w:val="clear" w:color="auto" w:fill="FFFFFF"/>
                  <w:vAlign w:val="center"/>
                </w:tcPr>
                <w:p>
                  <w:pPr>
                    <w:keepNext w:val="0"/>
                    <w:keepLines w:val="0"/>
                    <w:widowControl/>
                    <w:suppressLineNumbers w:val="0"/>
                    <w:shd w:val="clear" w:fill="FFFFFF"/>
                    <w:jc w:val="left"/>
                  </w:pPr>
                  <w:r>
                    <w:rPr>
                      <w:rFonts w:ascii="宋体" w:hAnsi="宋体" w:eastAsia="宋体" w:cs="宋体"/>
                      <w:color w:val="000000"/>
                      <w:kern w:val="0"/>
                      <w:sz w:val="20"/>
                      <w:szCs w:val="20"/>
                      <w:lang w:val="en-US" w:eastAsia="zh-CN" w:bidi="ar"/>
                    </w:rPr>
                    <w:t>    </w:t>
                  </w:r>
                  <w:r>
                    <w:rPr>
                      <w:rFonts w:hint="eastAsia" w:ascii="宋体" w:hAnsi="宋体" w:eastAsia="宋体" w:cs="宋体"/>
                      <w:color w:val="000000"/>
                      <w:kern w:val="0"/>
                      <w:sz w:val="20"/>
                      <w:szCs w:val="20"/>
                      <w:lang w:val="en-US" w:eastAsia="zh-CN" w:bidi="ar"/>
                    </w:rPr>
                    <w:t>建立宽带发展监测体系和评价指标体系，建设覆盖全国的宽带发展测评系统，实现对网络覆盖、接入带宽、用户规模、主要网站接入速率等信息的动态监测，建立宽带发展状况报告和宽带地图发布机制。</w:t>
                  </w:r>
                </w:p>
              </w:tc>
            </w:tr>
          </w:tbl>
          <w:p>
            <w:pPr>
              <w:pStyle w:val="2"/>
              <w:keepNext w:val="0"/>
              <w:keepLines w:val="0"/>
              <w:widowControl/>
              <w:suppressLineNumbers w:val="0"/>
              <w:spacing w:line="432" w:lineRule="atLeast"/>
            </w:pPr>
            <w:r>
              <w:rPr>
                <w:rFonts w:hint="eastAsia" w:ascii="宋体" w:hAnsi="宋体" w:eastAsia="宋体" w:cs="宋体"/>
                <w:caps w:val="0"/>
                <w:color w:val="000000"/>
                <w:spacing w:val="0"/>
                <w:sz w:val="24"/>
                <w:szCs w:val="24"/>
                <w:u w:val="none"/>
              </w:rPr>
              <w:t>    （五）增强宽带网络安全保障能力。</w:t>
            </w:r>
            <w:r>
              <w:rPr>
                <w:rFonts w:hint="eastAsia" w:ascii="宋体" w:hAnsi="宋体" w:eastAsia="宋体" w:cs="宋体"/>
                <w:caps w:val="0"/>
                <w:color w:val="000000"/>
                <w:spacing w:val="0"/>
                <w:sz w:val="24"/>
                <w:szCs w:val="24"/>
                <w:u w:val="none"/>
              </w:rPr>
              <w:br w:type="textWrapping"/>
            </w:r>
            <w:r>
              <w:rPr>
                <w:rFonts w:hint="eastAsia" w:ascii="宋体" w:hAnsi="宋体" w:eastAsia="宋体" w:cs="宋体"/>
                <w:caps w:val="0"/>
                <w:color w:val="000000"/>
                <w:spacing w:val="0"/>
                <w:sz w:val="24"/>
                <w:szCs w:val="24"/>
                <w:u w:val="none"/>
              </w:rPr>
              <w:t>    技术支撑能力。加强宽带网络信息安全与应急通信关键技术研究，提高基础软硬件产品、专用安全产品、应急通信装备的可控水平，支持技术产品研发，完善相关产业链，提高宽带网络信息安全与应急通信技术支撑能力。</w:t>
            </w:r>
            <w:r>
              <w:rPr>
                <w:rFonts w:hint="eastAsia" w:ascii="宋体" w:hAnsi="宋体" w:eastAsia="宋体" w:cs="宋体"/>
                <w:caps w:val="0"/>
                <w:color w:val="000000"/>
                <w:spacing w:val="0"/>
                <w:sz w:val="24"/>
                <w:szCs w:val="24"/>
                <w:u w:val="none"/>
              </w:rPr>
              <w:br w:type="textWrapping"/>
            </w:r>
            <w:r>
              <w:rPr>
                <w:rFonts w:hint="eastAsia" w:ascii="宋体" w:hAnsi="宋体" w:eastAsia="宋体" w:cs="宋体"/>
                <w:caps w:val="0"/>
                <w:color w:val="000000"/>
                <w:spacing w:val="0"/>
                <w:sz w:val="24"/>
                <w:szCs w:val="24"/>
                <w:u w:val="none"/>
              </w:rPr>
              <w:t>    安全防护体系。加快形成与宽带网络发展相适应的安全保障能力，构建下一代网络信息安全防护体系，提高对网络和信息安全事件的监测、发现、预警、研判和应急处置能力，完善网络和重要信息系统的安全风险评估评测机制和手段，提升网络基础设施攻击防范、应急响应和灾难备份恢复能力。</w:t>
            </w:r>
            <w:r>
              <w:rPr>
                <w:rFonts w:hint="eastAsia" w:ascii="宋体" w:hAnsi="宋体" w:eastAsia="宋体" w:cs="宋体"/>
                <w:caps w:val="0"/>
                <w:color w:val="000000"/>
                <w:spacing w:val="0"/>
                <w:sz w:val="24"/>
                <w:szCs w:val="24"/>
                <w:u w:val="none"/>
              </w:rPr>
              <w:br w:type="textWrapping"/>
            </w:r>
            <w:r>
              <w:rPr>
                <w:rFonts w:hint="eastAsia" w:ascii="宋体" w:hAnsi="宋体" w:eastAsia="宋体" w:cs="宋体"/>
                <w:caps w:val="0"/>
                <w:color w:val="000000"/>
                <w:spacing w:val="0"/>
                <w:sz w:val="24"/>
                <w:szCs w:val="24"/>
                <w:u w:val="none"/>
              </w:rPr>
              <w:t>    应急通信系统。提高宽带网络基础设施的可靠性和抗毁性，逐步实现宽带网络的应急优先服务，提升宽带网络的应急通信保障能力。加强基于宽带技术的应急通信装备配备，加快应急通信系统的宽带化改造。</w:t>
            </w:r>
            <w:r>
              <w:rPr>
                <w:rFonts w:hint="eastAsia" w:ascii="宋体" w:hAnsi="宋体" w:eastAsia="宋体" w:cs="宋体"/>
                <w:caps w:val="0"/>
                <w:color w:val="000000"/>
                <w:spacing w:val="0"/>
                <w:sz w:val="24"/>
                <w:szCs w:val="24"/>
                <w:u w:val="none"/>
              </w:rPr>
              <w:br w:type="textWrapping"/>
            </w:r>
            <w:r>
              <w:rPr>
                <w:rFonts w:hint="eastAsia" w:ascii="宋体" w:hAnsi="宋体" w:eastAsia="宋体" w:cs="宋体"/>
                <w:caps w:val="0"/>
                <w:color w:val="000000"/>
                <w:spacing w:val="0"/>
                <w:sz w:val="24"/>
                <w:szCs w:val="24"/>
                <w:u w:val="none"/>
              </w:rPr>
              <w:t>    安全管理机制。引导和规范新技术、新应用安全发展，构建安全评测评估体系，提高主动安全管理能力。加强信息保护体系建设，制定和完善个人隐私信息保护、打击网络犯罪等方面法律法规，推动行业自律和公众监督，加强用户安全宣传教育，构建全方位的社会化治理体系，着力打造安全、健康、诚信的网络环境。</w:t>
            </w:r>
            <w:r>
              <w:rPr>
                <w:rFonts w:hint="eastAsia" w:ascii="宋体" w:hAnsi="宋体" w:eastAsia="宋体" w:cs="宋体"/>
                <w:caps w:val="0"/>
                <w:color w:val="000000"/>
                <w:spacing w:val="0"/>
                <w:sz w:val="24"/>
                <w:szCs w:val="24"/>
                <w:u w:val="none"/>
              </w:rPr>
              <w:br w:type="textWrapping"/>
            </w:r>
            <w:r>
              <w:rPr>
                <w:rFonts w:hint="eastAsia" w:ascii="宋体" w:hAnsi="宋体" w:eastAsia="宋体" w:cs="宋体"/>
                <w:caps w:val="0"/>
                <w:color w:val="000000"/>
                <w:spacing w:val="0"/>
                <w:sz w:val="24"/>
                <w:szCs w:val="24"/>
                <w:u w:val="none"/>
              </w:rPr>
              <w:t>    </w:t>
            </w:r>
            <w:r>
              <w:rPr>
                <w:rStyle w:val="5"/>
                <w:rFonts w:hint="eastAsia" w:ascii="宋体" w:hAnsi="宋体" w:eastAsia="宋体" w:cs="宋体"/>
                <w:caps w:val="0"/>
                <w:color w:val="000000"/>
                <w:spacing w:val="0"/>
                <w:sz w:val="24"/>
                <w:szCs w:val="24"/>
                <w:u w:val="none"/>
              </w:rPr>
              <w:t>四、政策措施</w:t>
            </w:r>
            <w:r>
              <w:rPr>
                <w:rStyle w:val="5"/>
                <w:rFonts w:hint="eastAsia" w:ascii="宋体" w:hAnsi="宋体" w:eastAsia="宋体" w:cs="宋体"/>
                <w:caps w:val="0"/>
                <w:color w:val="000000"/>
                <w:spacing w:val="0"/>
                <w:sz w:val="24"/>
                <w:szCs w:val="24"/>
                <w:u w:val="none"/>
              </w:rPr>
              <w:br w:type="textWrapping"/>
            </w:r>
            <w:r>
              <w:rPr>
                <w:rFonts w:hint="eastAsia" w:ascii="宋体" w:hAnsi="宋体" w:eastAsia="宋体" w:cs="宋体"/>
                <w:caps w:val="0"/>
                <w:color w:val="000000"/>
                <w:spacing w:val="0"/>
                <w:sz w:val="24"/>
                <w:szCs w:val="24"/>
                <w:u w:val="none"/>
              </w:rPr>
              <w:t>    （一）加强组织领导。</w:t>
            </w:r>
            <w:r>
              <w:rPr>
                <w:rFonts w:hint="eastAsia" w:ascii="宋体" w:hAnsi="宋体" w:eastAsia="宋体" w:cs="宋体"/>
                <w:caps w:val="0"/>
                <w:color w:val="000000"/>
                <w:spacing w:val="0"/>
                <w:sz w:val="24"/>
                <w:szCs w:val="24"/>
                <w:u w:val="none"/>
              </w:rPr>
              <w:br w:type="textWrapping"/>
            </w:r>
            <w:r>
              <w:rPr>
                <w:rFonts w:hint="eastAsia" w:ascii="宋体" w:hAnsi="宋体" w:eastAsia="宋体" w:cs="宋体"/>
                <w:caps w:val="0"/>
                <w:color w:val="000000"/>
                <w:spacing w:val="0"/>
                <w:sz w:val="24"/>
                <w:szCs w:val="24"/>
                <w:u w:val="none"/>
              </w:rPr>
              <w:t>    建立“宽带中国”战略实施部际协调机制，加强统筹和配合，协调解决重大问题，务实推进战略的贯彻实施。各部门要充分整合、有效利用现有资源和政策，抓紧制定出台配套政策，确保各项任务措施落到实处。地方各级人民政府要将宽带发展纳入地区经济社会和城镇化发展规划，加强组织领导，结合实际适度超前部署，加大资金投入和政策支持力度，避免重复建设，推进本地区宽带快速健康发展。</w:t>
            </w:r>
            <w:r>
              <w:rPr>
                <w:rFonts w:hint="eastAsia" w:ascii="宋体" w:hAnsi="宋体" w:eastAsia="宋体" w:cs="宋体"/>
                <w:caps w:val="0"/>
                <w:color w:val="000000"/>
                <w:spacing w:val="0"/>
                <w:sz w:val="24"/>
                <w:szCs w:val="24"/>
                <w:u w:val="none"/>
              </w:rPr>
              <w:br w:type="textWrapping"/>
            </w:r>
            <w:r>
              <w:rPr>
                <w:rFonts w:hint="eastAsia" w:ascii="宋体" w:hAnsi="宋体" w:eastAsia="宋体" w:cs="宋体"/>
                <w:caps w:val="0"/>
                <w:color w:val="000000"/>
                <w:spacing w:val="0"/>
                <w:sz w:val="24"/>
                <w:szCs w:val="24"/>
                <w:u w:val="none"/>
              </w:rPr>
              <w:t>    （二）完善制度环境。</w:t>
            </w:r>
            <w:r>
              <w:rPr>
                <w:rFonts w:hint="eastAsia" w:ascii="宋体" w:hAnsi="宋体" w:eastAsia="宋体" w:cs="宋体"/>
                <w:caps w:val="0"/>
                <w:color w:val="000000"/>
                <w:spacing w:val="0"/>
                <w:sz w:val="24"/>
                <w:szCs w:val="24"/>
                <w:u w:val="none"/>
              </w:rPr>
              <w:br w:type="textWrapping"/>
            </w:r>
            <w:r>
              <w:rPr>
                <w:rFonts w:hint="eastAsia" w:ascii="宋体" w:hAnsi="宋体" w:eastAsia="宋体" w:cs="宋体"/>
                <w:caps w:val="0"/>
                <w:color w:val="000000"/>
                <w:spacing w:val="0"/>
                <w:sz w:val="24"/>
                <w:szCs w:val="24"/>
                <w:u w:val="none"/>
              </w:rPr>
              <w:t>    完善法律法规。加快推动出台相关法律法规，明确宽带网络作为国家公共基础设施的法律地位，强化宽带网络设施保护。依法保护个人信息，营造安全可信的网络环境，促进宽带应用发展。</w:t>
            </w:r>
            <w:r>
              <w:rPr>
                <w:rFonts w:hint="eastAsia" w:ascii="宋体" w:hAnsi="宋体" w:eastAsia="宋体" w:cs="宋体"/>
                <w:caps w:val="0"/>
                <w:color w:val="000000"/>
                <w:spacing w:val="0"/>
                <w:sz w:val="24"/>
                <w:szCs w:val="24"/>
                <w:u w:val="none"/>
              </w:rPr>
              <w:br w:type="textWrapping"/>
            </w:r>
            <w:r>
              <w:rPr>
                <w:rFonts w:hint="eastAsia" w:ascii="宋体" w:hAnsi="宋体" w:eastAsia="宋体" w:cs="宋体"/>
                <w:caps w:val="0"/>
                <w:color w:val="000000"/>
                <w:spacing w:val="0"/>
                <w:sz w:val="24"/>
                <w:szCs w:val="24"/>
                <w:u w:val="none"/>
              </w:rPr>
              <w:t>    健全监管体系。全面推进三网融合，加快电信和广电业务双向进入，建立和完善适应三网融合需要的网络信息安全和文化安全监管机制。健全宽带网络监管制度，加强监管能力建设，推进监管队伍向地市延伸。</w:t>
            </w:r>
            <w:r>
              <w:rPr>
                <w:rFonts w:hint="eastAsia" w:ascii="宋体" w:hAnsi="宋体" w:eastAsia="宋体" w:cs="宋体"/>
                <w:caps w:val="0"/>
                <w:color w:val="000000"/>
                <w:spacing w:val="0"/>
                <w:sz w:val="24"/>
                <w:szCs w:val="24"/>
                <w:u w:val="none"/>
              </w:rPr>
              <w:br w:type="textWrapping"/>
            </w:r>
            <w:r>
              <w:rPr>
                <w:rFonts w:hint="eastAsia" w:ascii="宋体" w:hAnsi="宋体" w:eastAsia="宋体" w:cs="宋体"/>
                <w:caps w:val="0"/>
                <w:color w:val="000000"/>
                <w:spacing w:val="0"/>
                <w:sz w:val="24"/>
                <w:szCs w:val="24"/>
                <w:u w:val="none"/>
              </w:rPr>
              <w:t>    推动开放竞争。逐步开放宽带接入网业务，鼓励民间资本参与宽带网络设施建设和业务运营，推动形成多种主体相互竞争、优势互补、共同发展的市场格局。规范宽带市场竞争行为，保障住宅小区及机场、高速公路、地铁等公共服务区域的公平进入。加强国家骨干网网间通信质量监管，建立网间互联带宽扩容长效机制，完善骨干网网间结算办法，保障网间互联高效畅通和骨干网公平竞争。通过产业联盟、行业协会等各种渠道，引导宽带网络设备制造和信息服务企业加强行业自律，建立竞争机制，共同维护竞争秩序。</w:t>
            </w:r>
            <w:r>
              <w:rPr>
                <w:rFonts w:hint="eastAsia" w:ascii="宋体" w:hAnsi="宋体" w:eastAsia="宋体" w:cs="宋体"/>
                <w:caps w:val="0"/>
                <w:color w:val="000000"/>
                <w:spacing w:val="0"/>
                <w:sz w:val="24"/>
                <w:szCs w:val="24"/>
                <w:u w:val="none"/>
              </w:rPr>
              <w:br w:type="textWrapping"/>
            </w:r>
            <w:r>
              <w:rPr>
                <w:rFonts w:hint="eastAsia" w:ascii="宋体" w:hAnsi="宋体" w:eastAsia="宋体" w:cs="宋体"/>
                <w:caps w:val="0"/>
                <w:color w:val="000000"/>
                <w:spacing w:val="0"/>
                <w:sz w:val="24"/>
                <w:szCs w:val="24"/>
                <w:u w:val="none"/>
              </w:rPr>
              <w:t>    深化应用创新。构建和完善宏观调控、社会管理和公共服务等基础信息资源体系，加快建立公益性信息资源开发应用长效机制，推进农业、科技、教育、文化、卫生、人口、就业和社会保障、国土资源等领域信息资源的公益性利用，建立跨地区、跨部门、跨层级的开放共享机制。</w:t>
            </w:r>
            <w:r>
              <w:rPr>
                <w:rFonts w:hint="eastAsia" w:ascii="宋体" w:hAnsi="宋体" w:eastAsia="宋体" w:cs="宋体"/>
                <w:caps w:val="0"/>
                <w:color w:val="000000"/>
                <w:spacing w:val="0"/>
                <w:sz w:val="24"/>
                <w:szCs w:val="24"/>
                <w:u w:val="none"/>
              </w:rPr>
              <w:br w:type="textWrapping"/>
            </w:r>
            <w:r>
              <w:rPr>
                <w:rFonts w:hint="eastAsia" w:ascii="宋体" w:hAnsi="宋体" w:eastAsia="宋体" w:cs="宋体"/>
                <w:caps w:val="0"/>
                <w:color w:val="000000"/>
                <w:spacing w:val="0"/>
                <w:sz w:val="24"/>
                <w:szCs w:val="24"/>
                <w:u w:val="none"/>
              </w:rPr>
              <w:t>    （三）规范建设秩序。</w:t>
            </w:r>
            <w:r>
              <w:rPr>
                <w:rFonts w:hint="eastAsia" w:ascii="宋体" w:hAnsi="宋体" w:eastAsia="宋体" w:cs="宋体"/>
                <w:caps w:val="0"/>
                <w:color w:val="000000"/>
                <w:spacing w:val="0"/>
                <w:sz w:val="24"/>
                <w:szCs w:val="24"/>
                <w:u w:val="none"/>
              </w:rPr>
              <w:br w:type="textWrapping"/>
            </w:r>
            <w:r>
              <w:rPr>
                <w:rFonts w:hint="eastAsia" w:ascii="宋体" w:hAnsi="宋体" w:eastAsia="宋体" w:cs="宋体"/>
                <w:caps w:val="0"/>
                <w:color w:val="000000"/>
                <w:spacing w:val="0"/>
                <w:sz w:val="24"/>
                <w:szCs w:val="24"/>
                <w:u w:val="none"/>
              </w:rPr>
              <w:t>    严格落实宽带网络建设规划和规范。按照城乡规划法、土地管理法和城市通信工程规划规范等法律法规和规范规定，将宽带网络建设纳入各地城乡规划、土地利用总体规划。切实执行住宅小区和住宅建筑宽带网络设施的工程设计、施工及验收规范。做好宽带网络与高速公路、铁路、机场等交通设施规划和建设的衔接。</w:t>
            </w:r>
            <w:r>
              <w:rPr>
                <w:rFonts w:hint="eastAsia" w:ascii="宋体" w:hAnsi="宋体" w:eastAsia="宋体" w:cs="宋体"/>
                <w:caps w:val="0"/>
                <w:color w:val="000000"/>
                <w:spacing w:val="0"/>
                <w:sz w:val="24"/>
                <w:szCs w:val="24"/>
                <w:u w:val="none"/>
              </w:rPr>
              <w:br w:type="textWrapping"/>
            </w:r>
            <w:r>
              <w:rPr>
                <w:rFonts w:hint="eastAsia" w:ascii="宋体" w:hAnsi="宋体" w:eastAsia="宋体" w:cs="宋体"/>
                <w:caps w:val="0"/>
                <w:color w:val="000000"/>
                <w:spacing w:val="0"/>
                <w:sz w:val="24"/>
                <w:szCs w:val="24"/>
                <w:u w:val="none"/>
              </w:rPr>
              <w:t>    保障宽带网络设施建设与通行。政府机关、企事业单位和公共机构等所属公共设施，市政设施、公路、铁路、机场、地铁等公共设施应向宽带网络设施建设开放，并提供通行便利。对因征地拆迁、城乡建设等造成的光缆、管道、基站、机房等宽带网络设施迁移和毁损，严格按照有关标准予以补偿。</w:t>
            </w:r>
            <w:r>
              <w:rPr>
                <w:rFonts w:hint="eastAsia" w:ascii="宋体" w:hAnsi="宋体" w:eastAsia="宋体" w:cs="宋体"/>
                <w:caps w:val="0"/>
                <w:color w:val="000000"/>
                <w:spacing w:val="0"/>
                <w:sz w:val="24"/>
                <w:szCs w:val="24"/>
                <w:u w:val="none"/>
              </w:rPr>
              <w:br w:type="textWrapping"/>
            </w:r>
            <w:r>
              <w:rPr>
                <w:rFonts w:hint="eastAsia" w:ascii="宋体" w:hAnsi="宋体" w:eastAsia="宋体" w:cs="宋体"/>
                <w:caps w:val="0"/>
                <w:color w:val="000000"/>
                <w:spacing w:val="0"/>
                <w:sz w:val="24"/>
                <w:szCs w:val="24"/>
                <w:u w:val="none"/>
              </w:rPr>
              <w:t>    深化网络设施共建共享。在城市地下管线规划、控制性详细规划中，统筹安排通信工程综合管道网和相关设施，加强宽带网络设施与城市其他通信管线、居住区、公共建筑等管线的协调。深化光缆、管道、基站等电信基础设施的共建共享，创新合作模式，探索应用新技术，促进资源节约。</w:t>
            </w:r>
            <w:r>
              <w:rPr>
                <w:rFonts w:hint="eastAsia" w:ascii="宋体" w:hAnsi="宋体" w:eastAsia="宋体" w:cs="宋体"/>
                <w:caps w:val="0"/>
                <w:color w:val="000000"/>
                <w:spacing w:val="0"/>
                <w:sz w:val="24"/>
                <w:szCs w:val="24"/>
                <w:u w:val="none"/>
              </w:rPr>
              <w:br w:type="textWrapping"/>
            </w:r>
            <w:r>
              <w:rPr>
                <w:rFonts w:hint="eastAsia" w:ascii="宋体" w:hAnsi="宋体" w:eastAsia="宋体" w:cs="宋体"/>
                <w:caps w:val="0"/>
                <w:color w:val="000000"/>
                <w:spacing w:val="0"/>
                <w:sz w:val="24"/>
                <w:szCs w:val="24"/>
                <w:u w:val="none"/>
              </w:rPr>
              <w:t>    （四）加大财税扶持。</w:t>
            </w:r>
            <w:r>
              <w:rPr>
                <w:rFonts w:hint="eastAsia" w:ascii="宋体" w:hAnsi="宋体" w:eastAsia="宋体" w:cs="宋体"/>
                <w:caps w:val="0"/>
                <w:color w:val="000000"/>
                <w:spacing w:val="0"/>
                <w:sz w:val="24"/>
                <w:szCs w:val="24"/>
                <w:u w:val="none"/>
              </w:rPr>
              <w:br w:type="textWrapping"/>
            </w:r>
            <w:r>
              <w:rPr>
                <w:rFonts w:hint="eastAsia" w:ascii="宋体" w:hAnsi="宋体" w:eastAsia="宋体" w:cs="宋体"/>
                <w:caps w:val="0"/>
                <w:color w:val="000000"/>
                <w:spacing w:val="0"/>
                <w:sz w:val="24"/>
                <w:szCs w:val="24"/>
                <w:u w:val="none"/>
              </w:rPr>
              <w:t>    加大财政资金支持。完善电信普遍服务补偿机制，形成支持农村和中西部地区宽带发展的长效机制。充分利用中央各类专项资金，引导地方相关资金投向宽带网络研发及产业化，以及农村和老少边穷地区的宽带网络发展。对西部地区符合条件的国家级开发区宽带建设项目贷款予以贴息支持。</w:t>
            </w:r>
            <w:r>
              <w:rPr>
                <w:rFonts w:hint="eastAsia" w:ascii="宋体" w:hAnsi="宋体" w:eastAsia="宋体" w:cs="宋体"/>
                <w:caps w:val="0"/>
                <w:color w:val="000000"/>
                <w:spacing w:val="0"/>
                <w:sz w:val="24"/>
                <w:szCs w:val="24"/>
                <w:u w:val="none"/>
              </w:rPr>
              <w:br w:type="textWrapping"/>
            </w:r>
            <w:r>
              <w:rPr>
                <w:rFonts w:hint="eastAsia" w:ascii="宋体" w:hAnsi="宋体" w:eastAsia="宋体" w:cs="宋体"/>
                <w:caps w:val="0"/>
                <w:color w:val="000000"/>
                <w:spacing w:val="0"/>
                <w:sz w:val="24"/>
                <w:szCs w:val="24"/>
                <w:u w:val="none"/>
              </w:rPr>
              <w:t>    加强税收优惠扶持。将西部地区宽带网络建设和运营纳入《西部地区鼓励类产业目录》，扶持西部地区宽带发展。结合电信行业特点，在营业税改增值税改革中，制定增值税相关政策与征管制度，完善电信业增值税抵扣机制，支持宽带网络建设。</w:t>
            </w:r>
            <w:r>
              <w:rPr>
                <w:rFonts w:hint="eastAsia" w:ascii="宋体" w:hAnsi="宋体" w:eastAsia="宋体" w:cs="宋体"/>
                <w:caps w:val="0"/>
                <w:color w:val="000000"/>
                <w:spacing w:val="0"/>
                <w:sz w:val="24"/>
                <w:szCs w:val="24"/>
                <w:u w:val="none"/>
              </w:rPr>
              <w:br w:type="textWrapping"/>
            </w:r>
            <w:r>
              <w:rPr>
                <w:rFonts w:hint="eastAsia" w:ascii="宋体" w:hAnsi="宋体" w:eastAsia="宋体" w:cs="宋体"/>
                <w:caps w:val="0"/>
                <w:color w:val="000000"/>
                <w:spacing w:val="0"/>
                <w:sz w:val="24"/>
                <w:szCs w:val="24"/>
                <w:u w:val="none"/>
              </w:rPr>
              <w:t>    完善投融资政策。将宽带业务纳入《中西部地区外商投资优势产业目录》。推进专利等知识产权质押融资工作，加大对宽带应用服务企业的融资支持力度，积极支持符合条件的宽带应用服务企业在海内外资本市场直接融资。完善基础电信企业经营业绩考核机制，进一步优化基础电信企业经济增加值考核指标，引导宽带网络投资更多地投向西部和农村地区。</w:t>
            </w:r>
            <w:r>
              <w:rPr>
                <w:rFonts w:hint="eastAsia" w:ascii="宋体" w:hAnsi="宋体" w:eastAsia="宋体" w:cs="宋体"/>
                <w:caps w:val="0"/>
                <w:color w:val="000000"/>
                <w:spacing w:val="0"/>
                <w:sz w:val="24"/>
                <w:szCs w:val="24"/>
                <w:u w:val="none"/>
              </w:rPr>
              <w:br w:type="textWrapping"/>
            </w:r>
            <w:r>
              <w:rPr>
                <w:rFonts w:hint="eastAsia" w:ascii="宋体" w:hAnsi="宋体" w:eastAsia="宋体" w:cs="宋体"/>
                <w:caps w:val="0"/>
                <w:color w:val="000000"/>
                <w:spacing w:val="0"/>
                <w:sz w:val="24"/>
                <w:szCs w:val="24"/>
                <w:u w:val="none"/>
              </w:rPr>
              <w:t>    （五）优化频谱规划。</w:t>
            </w:r>
            <w:r>
              <w:rPr>
                <w:rFonts w:hint="eastAsia" w:ascii="宋体" w:hAnsi="宋体" w:eastAsia="宋体" w:cs="宋体"/>
                <w:caps w:val="0"/>
                <w:color w:val="000000"/>
                <w:spacing w:val="0"/>
                <w:sz w:val="24"/>
                <w:szCs w:val="24"/>
                <w:u w:val="none"/>
              </w:rPr>
              <w:br w:type="textWrapping"/>
            </w:r>
            <w:r>
              <w:rPr>
                <w:rFonts w:hint="eastAsia" w:ascii="宋体" w:hAnsi="宋体" w:eastAsia="宋体" w:cs="宋体"/>
                <w:caps w:val="0"/>
                <w:color w:val="000000"/>
                <w:spacing w:val="0"/>
                <w:sz w:val="24"/>
                <w:szCs w:val="24"/>
                <w:u w:val="none"/>
              </w:rPr>
              <w:t>    明确国家无线频谱路线图。尽快研究确定国家宽带无线发展各阶段的频谱需求，梳理无线频谱分布和利用状况。加快研究频谱规划方案，制定频谱中长期规划，明确无线频谱综合利用的时间表和路线图。</w:t>
            </w:r>
            <w:r>
              <w:rPr>
                <w:rFonts w:hint="eastAsia" w:ascii="宋体" w:hAnsi="宋体" w:eastAsia="宋体" w:cs="宋体"/>
                <w:caps w:val="0"/>
                <w:color w:val="000000"/>
                <w:spacing w:val="0"/>
                <w:sz w:val="24"/>
                <w:szCs w:val="24"/>
                <w:u w:val="none"/>
              </w:rPr>
              <w:br w:type="textWrapping"/>
            </w:r>
            <w:r>
              <w:rPr>
                <w:rFonts w:hint="eastAsia" w:ascii="宋体" w:hAnsi="宋体" w:eastAsia="宋体" w:cs="宋体"/>
                <w:caps w:val="0"/>
                <w:color w:val="000000"/>
                <w:spacing w:val="0"/>
                <w:sz w:val="24"/>
                <w:szCs w:val="24"/>
                <w:u w:val="none"/>
              </w:rPr>
              <w:t>    促进频谱资源高效利用。支持动态频谱分配等高效利用频谱资源新技术的开发运用，支持消除干扰技术和设备的研发和利用，促进不同无线业务类型频率的共用共享，提高频率资源整体利用率。</w:t>
            </w:r>
            <w:r>
              <w:rPr>
                <w:rFonts w:hint="eastAsia" w:ascii="宋体" w:hAnsi="宋体" w:eastAsia="宋体" w:cs="宋体"/>
                <w:caps w:val="0"/>
                <w:color w:val="000000"/>
                <w:spacing w:val="0"/>
                <w:sz w:val="24"/>
                <w:szCs w:val="24"/>
                <w:u w:val="none"/>
              </w:rPr>
              <w:br w:type="textWrapping"/>
            </w:r>
            <w:r>
              <w:rPr>
                <w:rFonts w:hint="eastAsia" w:ascii="宋体" w:hAnsi="宋体" w:eastAsia="宋体" w:cs="宋体"/>
                <w:caps w:val="0"/>
                <w:color w:val="000000"/>
                <w:spacing w:val="0"/>
                <w:sz w:val="24"/>
                <w:szCs w:val="24"/>
                <w:u w:val="none"/>
              </w:rPr>
              <w:t>    加强公共频段上无线设备的监管。统筹无线局域网等无线通信网络的部署，鼓励无线设备共建共享，避免频率干扰，提高频谱资源使用效益。加强无线电发射设备研制、生产、进口、销售、使用等环节的监管，维护空中电波秩序。</w:t>
            </w:r>
            <w:r>
              <w:rPr>
                <w:rFonts w:hint="eastAsia" w:ascii="宋体" w:hAnsi="宋体" w:eastAsia="宋体" w:cs="宋体"/>
                <w:caps w:val="0"/>
                <w:color w:val="000000"/>
                <w:spacing w:val="0"/>
                <w:sz w:val="24"/>
                <w:szCs w:val="24"/>
                <w:u w:val="none"/>
              </w:rPr>
              <w:br w:type="textWrapping"/>
            </w:r>
            <w:r>
              <w:rPr>
                <w:rFonts w:hint="eastAsia" w:ascii="宋体" w:hAnsi="宋体" w:eastAsia="宋体" w:cs="宋体"/>
                <w:caps w:val="0"/>
                <w:color w:val="000000"/>
                <w:spacing w:val="0"/>
                <w:sz w:val="24"/>
                <w:szCs w:val="24"/>
                <w:u w:val="none"/>
              </w:rPr>
              <w:t>    （六）加强人才培养。</w:t>
            </w:r>
            <w:r>
              <w:rPr>
                <w:rFonts w:hint="eastAsia" w:ascii="宋体" w:hAnsi="宋体" w:eastAsia="宋体" w:cs="宋体"/>
                <w:caps w:val="0"/>
                <w:color w:val="000000"/>
                <w:spacing w:val="0"/>
                <w:sz w:val="24"/>
                <w:szCs w:val="24"/>
                <w:u w:val="none"/>
              </w:rPr>
              <w:br w:type="textWrapping"/>
            </w:r>
            <w:r>
              <w:rPr>
                <w:rFonts w:hint="eastAsia" w:ascii="宋体" w:hAnsi="宋体" w:eastAsia="宋体" w:cs="宋体"/>
                <w:caps w:val="0"/>
                <w:color w:val="000000"/>
                <w:spacing w:val="0"/>
                <w:sz w:val="24"/>
                <w:szCs w:val="24"/>
                <w:u w:val="none"/>
              </w:rPr>
              <w:t>    优先保障人才发展投入。争取国家重大人才工程加大对宽带人才队伍建设的支持力度，加强宽带领域专业技术人才继续教育。依托重大科研、工程、产业攻关等项目开展人才培养工作，重视发挥企业作用，在实践中聚集和培养人才。</w:t>
            </w:r>
            <w:r>
              <w:rPr>
                <w:rFonts w:hint="eastAsia" w:ascii="宋体" w:hAnsi="宋体" w:eastAsia="宋体" w:cs="宋体"/>
                <w:caps w:val="0"/>
                <w:color w:val="000000"/>
                <w:spacing w:val="0"/>
                <w:sz w:val="24"/>
                <w:szCs w:val="24"/>
                <w:u w:val="none"/>
              </w:rPr>
              <w:br w:type="textWrapping"/>
            </w:r>
            <w:r>
              <w:rPr>
                <w:rFonts w:hint="eastAsia" w:ascii="宋体" w:hAnsi="宋体" w:eastAsia="宋体" w:cs="宋体"/>
                <w:caps w:val="0"/>
                <w:color w:val="000000"/>
                <w:spacing w:val="0"/>
                <w:sz w:val="24"/>
                <w:szCs w:val="24"/>
                <w:u w:val="none"/>
              </w:rPr>
              <w:t>    加大高层次人才引进和培养。加强宽带重点领域创新型人才引进，将所需人才纳入国家海外高层次人才引进计划，大力吸引海外高层次人才在华创新创业。鼓励采用合作办学、定向培养、继续教育等多种形式，创新宽带相关专业人才培养模式，建立科研机构、高校创新人才向企业流动的机制。</w:t>
            </w:r>
            <w:r>
              <w:rPr>
                <w:rFonts w:hint="eastAsia" w:ascii="宋体" w:hAnsi="宋体" w:eastAsia="宋体" w:cs="宋体"/>
                <w:caps w:val="0"/>
                <w:color w:val="000000"/>
                <w:spacing w:val="0"/>
                <w:sz w:val="24"/>
                <w:szCs w:val="24"/>
                <w:u w:val="none"/>
              </w:rPr>
              <w:br w:type="textWrapping"/>
            </w:r>
            <w:r>
              <w:rPr>
                <w:rFonts w:hint="eastAsia" w:ascii="宋体" w:hAnsi="宋体" w:eastAsia="宋体" w:cs="宋体"/>
                <w:caps w:val="0"/>
                <w:color w:val="000000"/>
                <w:spacing w:val="0"/>
                <w:sz w:val="24"/>
                <w:szCs w:val="24"/>
                <w:u w:val="none"/>
              </w:rPr>
              <w:t>    （七）深化国际合作。</w:t>
            </w:r>
            <w:r>
              <w:rPr>
                <w:rFonts w:hint="eastAsia" w:ascii="宋体" w:hAnsi="宋体" w:eastAsia="宋体" w:cs="宋体"/>
                <w:caps w:val="0"/>
                <w:color w:val="000000"/>
                <w:spacing w:val="0"/>
                <w:sz w:val="24"/>
                <w:szCs w:val="24"/>
                <w:u w:val="none"/>
              </w:rPr>
              <w:br w:type="textWrapping"/>
            </w:r>
            <w:r>
              <w:rPr>
                <w:rFonts w:hint="eastAsia" w:ascii="宋体" w:hAnsi="宋体" w:eastAsia="宋体" w:cs="宋体"/>
                <w:caps w:val="0"/>
                <w:color w:val="000000"/>
                <w:spacing w:val="0"/>
                <w:sz w:val="24"/>
                <w:szCs w:val="24"/>
                <w:u w:val="none"/>
              </w:rPr>
              <w:t>    加强网络基础资源国际合作。探索建立适应互联网域名、网址和网际协议地址（IP地址）资源全球化发展要求的地区和国家间的协调与合作机制。加强无线频谱、卫星轨道等资源分配使用的国际协作。借鉴国外先进经验，推动开展资源技术联合研究，提高资源利用效率。加强互联网骨干网的国际互联合作，进一步提升我国互联网骨干网企业的国际地位。</w:t>
            </w:r>
            <w:r>
              <w:rPr>
                <w:rFonts w:hint="eastAsia" w:ascii="宋体" w:hAnsi="宋体" w:eastAsia="宋体" w:cs="宋体"/>
                <w:caps w:val="0"/>
                <w:color w:val="000000"/>
                <w:spacing w:val="0"/>
                <w:sz w:val="24"/>
                <w:szCs w:val="24"/>
                <w:u w:val="none"/>
              </w:rPr>
              <w:br w:type="textWrapping"/>
            </w:r>
            <w:r>
              <w:rPr>
                <w:rFonts w:hint="eastAsia" w:ascii="宋体" w:hAnsi="宋体" w:eastAsia="宋体" w:cs="宋体"/>
                <w:caps w:val="0"/>
                <w:color w:val="000000"/>
                <w:spacing w:val="0"/>
                <w:sz w:val="24"/>
                <w:szCs w:val="24"/>
                <w:u w:val="none"/>
              </w:rPr>
              <w:t>    深化网络空间国际合作。加强国际交流，推动双边、多边协调和对话，建立多层次的沟通交流平台，提升参与网络空间国际治理和规则制定的话语权。加强网络空间规则、资源、安全等国际合作，积极参与国际社会互联网公共政策与规则的制定，推动国际互联网健康发展。</w:t>
            </w:r>
            <w:r>
              <w:rPr>
                <w:rFonts w:hint="eastAsia" w:ascii="宋体" w:hAnsi="宋体" w:eastAsia="宋体" w:cs="宋体"/>
                <w:caps w:val="0"/>
                <w:color w:val="000000"/>
                <w:spacing w:val="0"/>
                <w:sz w:val="24"/>
                <w:szCs w:val="24"/>
                <w:u w:val="none"/>
              </w:rPr>
              <w:br w:type="textWrapping"/>
            </w:r>
            <w:r>
              <w:rPr>
                <w:rFonts w:hint="eastAsia" w:ascii="宋体" w:hAnsi="宋体" w:eastAsia="宋体" w:cs="宋体"/>
                <w:caps w:val="0"/>
                <w:color w:val="000000"/>
                <w:spacing w:val="0"/>
                <w:sz w:val="24"/>
                <w:szCs w:val="24"/>
                <w:u w:val="none"/>
              </w:rPr>
              <w:t>    加大知识产权国际合作。完善知识产权保护制度，强化数字内容和互联网应用的知识产权保护，加强打击互联网领域侵权盗版行为的国际合作。加强宽带相关技术和产品的专利布局、专利预警、海外维权和争端解决，提升企业依法应对知识产权纠纷的能力。</w:t>
            </w:r>
          </w:p>
        </w:tc>
      </w:tr>
    </w:tbl>
    <w:p>
      <w:pPr>
        <w:rPr>
          <w:vanish/>
          <w:sz w:val="24"/>
          <w:szCs w:val="24"/>
        </w:rPr>
      </w:pPr>
    </w:p>
    <w:tbl>
      <w:tblPr>
        <w:tblW w:w="5000" w:type="pct"/>
        <w:tblCellSpacing w:w="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830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blCellSpacing w:w="0" w:type="dxa"/>
        </w:trPr>
        <w:tc>
          <w:tcPr>
            <w:tcW w:w="0" w:type="auto"/>
            <w:shd w:val="clear" w:color="auto" w:fill="FFFFFF"/>
            <w:vAlign w:val="center"/>
          </w:tcPr>
          <w:p>
            <w:pPr>
              <w:rPr>
                <w:rFonts w:hint="eastAsia" w:ascii="微软雅黑" w:hAnsi="微软雅黑" w:eastAsia="微软雅黑" w:cs="微软雅黑"/>
                <w:caps w:val="0"/>
                <w:spacing w:val="0"/>
                <w:sz w:val="24"/>
                <w:szCs w:val="24"/>
              </w:rPr>
            </w:pPr>
          </w:p>
        </w:tc>
      </w:tr>
    </w:tbl>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_GB2312">
    <w:altName w:val="楷体"/>
    <w:panose1 w:val="00000000000000000000"/>
    <w:charset w:val="00"/>
    <w:family w:val="auto"/>
    <w:pitch w:val="default"/>
    <w:sig w:usb0="00000000" w:usb1="00000000" w:usb2="00000000" w:usb3="00000000" w:csb0="00000000"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BF26435"/>
    <w:rsid w:val="6BF2643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63</TotalTime>
  <ScaleCrop>false</ScaleCrop>
  <LinksUpToDate>false</LinksUpToDate>
  <CharactersWithSpaces>0</CharactersWithSpaces>
  <Application>WPS Office_11.1.0.11566_F1E327BC-269C-435d-A152-05C5408002CA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2022-04-15T05:06:00Z</dcterms:created>
  <dc:creator>清风</dc:creator>
  <cp:lastModifiedBy>清风</cp:lastModifiedBy>
  <dcterms:modified xsi:type="dcterms:W3CDTF">2022-04-15T06:11:49Z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2052-11.1.0.11566</vt:lpwstr>
  </property>
  <property fmtid="{D5CDD505-2E9C-101B-9397-08002B2CF9AE}" pid="3" name="ICV">
    <vt:lpwstr>6C867EDC2BA64021BB8788225E8F1220</vt:lpwstr>
  </property>
</Properties>
</file>