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475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0" w:type="auto"/>
            <w:shd w:val="clear" w:color="auto" w:fill="FFFFFF"/>
            <w:vAlign w:val="center"/>
          </w:tcPr>
          <w:p>
            <w:pPr>
              <w:pStyle w:val="2"/>
              <w:keepNext w:val="0"/>
              <w:keepLines w:val="0"/>
              <w:widowControl/>
              <w:suppressLineNumbers w:val="0"/>
              <w:spacing w:line="432" w:lineRule="atLeast"/>
              <w:jc w:val="center"/>
            </w:pPr>
            <w:r>
              <w:rPr>
                <w:rStyle w:val="5"/>
                <w:rFonts w:hint="eastAsia" w:ascii="宋体" w:hAnsi="宋体" w:eastAsia="宋体" w:cs="宋体"/>
                <w:caps w:val="0"/>
                <w:color w:val="000000"/>
                <w:spacing w:val="0"/>
                <w:sz w:val="36"/>
                <w:szCs w:val="36"/>
                <w:u w:val="none"/>
              </w:rPr>
              <w:t>国务院关于印发“宽带中国”战略及</w:t>
            </w:r>
            <w:r>
              <w:rPr>
                <w:rStyle w:val="5"/>
                <w:rFonts w:hint="eastAsia" w:ascii="宋体" w:hAnsi="宋体" w:eastAsia="宋体" w:cs="宋体"/>
                <w:caps w:val="0"/>
                <w:color w:val="000000"/>
                <w:spacing w:val="0"/>
                <w:sz w:val="36"/>
                <w:szCs w:val="36"/>
                <w:u w:val="none"/>
              </w:rPr>
              <w:br w:type="textWrapping"/>
            </w:r>
            <w:r>
              <w:rPr>
                <w:rStyle w:val="5"/>
                <w:rFonts w:hint="eastAsia" w:ascii="宋体" w:hAnsi="宋体" w:eastAsia="宋体" w:cs="宋体"/>
                <w:caps w:val="0"/>
                <w:color w:val="000000"/>
                <w:spacing w:val="0"/>
                <w:sz w:val="36"/>
                <w:szCs w:val="36"/>
                <w:u w:val="none"/>
              </w:rPr>
              <w:t>实 施 方 案 的 通 知</w:t>
            </w:r>
            <w:r>
              <w:rPr>
                <w:rStyle w:val="5"/>
                <w:rFonts w:hint="eastAsia" w:ascii="宋体" w:hAnsi="宋体" w:eastAsia="宋体" w:cs="宋体"/>
                <w:caps w:val="0"/>
                <w:color w:val="000000"/>
                <w:spacing w:val="0"/>
                <w:sz w:val="36"/>
                <w:szCs w:val="36"/>
                <w:u w:val="none"/>
              </w:rPr>
              <w:br w:type="textWrapping"/>
            </w:r>
            <w:r>
              <w:rPr>
                <w:rFonts w:ascii="楷体_GB2312" w:hAnsi="宋体" w:eastAsia="楷体_GB2312" w:cs="楷体_GB2312"/>
                <w:caps w:val="0"/>
                <w:color w:val="000000"/>
                <w:spacing w:val="0"/>
                <w:sz w:val="24"/>
                <w:szCs w:val="24"/>
                <w:u w:val="none"/>
              </w:rPr>
              <w:t>国发〔2013〕31号</w:t>
            </w:r>
          </w:p>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各省、自治区、直辖市人民政府，国务院各部委、各直属机构：</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现将《“宽带中国”战略及实施方案》印发给你们，请认真贯彻执行。</w:t>
            </w:r>
          </w:p>
          <w:p>
            <w:pPr>
              <w:pStyle w:val="2"/>
              <w:keepNext w:val="0"/>
              <w:keepLines w:val="0"/>
              <w:widowControl/>
              <w:suppressLineNumbers w:val="0"/>
              <w:spacing w:line="432" w:lineRule="atLeast"/>
              <w:jc w:val="right"/>
            </w:pPr>
            <w:r>
              <w:rPr>
                <w:rFonts w:hint="eastAsia" w:ascii="宋体" w:hAnsi="宋体" w:eastAsia="宋体" w:cs="宋体"/>
                <w:caps w:val="0"/>
                <w:color w:val="000000"/>
                <w:spacing w:val="0"/>
                <w:sz w:val="24"/>
                <w:szCs w:val="24"/>
                <w:u w:val="none"/>
              </w:rPr>
              <w:t>                                                      国务院</w:t>
            </w:r>
            <w:bookmarkStart w:id="0" w:name="_GoBack"/>
            <w:bookmarkEnd w:id="0"/>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2013年8月1日</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（此件公开发布）</w:t>
            </w:r>
          </w:p>
          <w:p>
            <w:pPr>
              <w:pStyle w:val="2"/>
              <w:keepNext w:val="0"/>
              <w:keepLines w:val="0"/>
              <w:widowControl/>
              <w:suppressLineNumbers w:val="0"/>
              <w:spacing w:line="432" w:lineRule="atLeast"/>
              <w:jc w:val="center"/>
            </w:pPr>
            <w:r>
              <w:rPr>
                <w:rStyle w:val="5"/>
                <w:rFonts w:hint="eastAsia" w:ascii="宋体" w:hAnsi="宋体" w:eastAsia="宋体" w:cs="宋体"/>
                <w:caps w:val="0"/>
                <w:color w:val="000000"/>
                <w:spacing w:val="0"/>
                <w:sz w:val="24"/>
                <w:szCs w:val="24"/>
                <w:u w:val="none"/>
              </w:rPr>
              <w:t>“宽带中国”战略及实施方案</w:t>
            </w:r>
          </w:p>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宽带网络是新时期我国经济社会发展的战略性公共基础设施，发展宽带网络对拉动有效投资和促进信息消费、推进发展方式转变和小康社会建设具有重要支撑作用。从全球范围看，宽带网络正推动新一轮信息化发展浪潮，众多国家纷纷将发展宽带网络作为战略部署的优先行动领域，作为抢占新时期国际经济、科技和产业竞争制高点的重要举措。近年来，我国宽带网络覆盖范围不断扩大，传输和接入能力不断增强，宽带技术创新取得显著进展，完整产业链初步形成，应用服务水平不断提升，电子商务、软件外包、云计算和物联网等新兴业态蓬勃发展，网络信息安全保障逐步加强，但我国宽带网络仍然存在公共基础设施定位不明确、区域和城乡发展不平衡、应用服务不够丰富、技术原创能力不足、发展环境不完善等问题，亟需得到解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根据《2006-2020年国家信息化发展战略》、《国务院关于大力推进信息化发展和切实保障信息安全的若干意见》（国发〔2012〕23号）和《“十二五”国家战略性新兴产业发展规划》的总体要求，特制定《“宽带中国”战略及实施方案》，旨在加强战略引导和系统部署，推动我国宽带基础设施快速健康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 一、指导思想、基本原则和发展目标</w:t>
            </w:r>
            <w:r>
              <w:rPr>
                <w:rStyle w:val="5"/>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（一）指导思想。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以邓小平理论、“三个代表”重要思想、科学发展观为指导，围绕加快转变经济发展方式和全面建成小康社会的总体要求，将宽带网络作为国家战略性公共基础设施，加强顶层设计和规划引导，统筹关键核心技术研发、标准制定、信息安全和应急通信保障体系建设，促进网络建设、应用普及、服务创新和产业支撑的协同，综合利用有线、无线技术推动电信网、广播电视网和互联网融合发展，加快构建宽带、融合、安全、泛在的下一代国家信息基础设施，全面支撑经济发展和服务社会民生。</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（二）基本原则。</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坚持政府引导与市场调节相结合。坚持市场配置资源的基础性作用，发挥政府战略引领作用，完善政策措施。系统研究解决网络建设、内容服务、应用创新、产业发展等环节体制机制问题，营造良好环境，促进市场公平竞争和资源有效利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坚持统筹规划与分步推进相结合。从战略性、全局性和系统性出发，适度超前，明确宽带发展的总体目标、路线图和时间表。遵循客观发展规律，因地制宜，统筹城乡和区域宽带协调发展，统筹军民宽带网络融合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坚持网络建设与应用服务相结合。统筹有线、无线技术手段协同发展，协调推进宽带接入网、骨干网和国际出入口能力建设，形成适度超前的宽带网络发展格局。促进网络能力提升与应用服务创新相结合，深化宽带在各行业、各领域的集成应用，推动信息消费，培育新服务、新市场、新业态。</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坚持网络升级与产业创新相结合。加强宽带网络发展与产业支撑能力建设的协同，加快建立以企业为主体、市场为导向、产学研用紧密结合的技术创新体系，促进国内外优势资源的整合利用，提升自主创新能力，实现产业链上下游协调发展，提高产业配套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坚持宽带普及与保障安全相结合。强化安全意识，同步推进网络信息安全和应急通信保障能力建设，不断增强基础网络、核心系统、关键资源的安全掌控能力以及应急服务能力，实现网络安全可控、业务安全可管、应急保障可靠。</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（三）发展目标。</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到2015年，初步建成适应经济社会发展需要的下一代国家信息基础设施。基本实现城市光纤到楼入户、农村宽带进乡入村，固定宽带家庭普及率达到50%，第三代移动通信及其长期演进技术（3G/LTE）用户普及率达到32.5%，行政村通宽带（有线或无线接入方式，下同）比例达到95%，学校、图书馆、医院等公益机构基本实现宽带接入。城市和农村家庭宽带接入能力基本达到20兆比特每秒（Mbps）和4Mbps，部分发达城市达到100Mbps。宽带应用水平大幅提升，移动互联网广泛渗透。网络与信息安全保障能力明显增强。</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到2020年，我国宽带网络基础设施发展水平与发达国家之间的差距大幅缩小，国民充分享受宽带带来的经济增长、服务便利和发展机遇。宽带网络全面覆盖城乡，固定宽带家庭普及率达到70%，3G/LTE用户普及率达到85%，行政村通宽带比例超过98%。城市和农村家庭宽带接入能力分别达到50Mbps和12Mbps，发达城市部分家庭用户可达1吉比特每秒（Gbps）。宽带应用深度融入生产生活，移动互联网全面普及。技术创新和产业竞争力达到国际先进水平，形成较为健全的网络与信息安全保障体系。</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二、技术路线和发展时间表</w:t>
            </w:r>
            <w:r>
              <w:rPr>
                <w:rStyle w:val="5"/>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遵循宽带技术演进规律，充分利用现有网络基础，围绕经济社会发展总体要求和宽带发展目标，加强和完善总体布局，系统解决宽带网络接入速度、覆盖范围、应用普及等关键问题，强化产业发展和安全保障，不断提高宽带发展整体水平，全面提升支撑经济社会可持续发展的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（一）技术路线。</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统筹接入网、城域网和骨干网建设，综合利用有线技术和无线技术，结合基于互联网协议第6版（IPv6）的下一代互联网规模商用部署要求，分阶段系统推进宽带网络发展。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按照高速接入、广泛覆盖、多种手段、因地制宜的思路，推进接入网建设。城市地区利用光纤到户、光纤到楼等技术方式进行接入网建设和改造，并结合3G/LTE与无线局域网技术，实现宽带网络无缝覆盖。农村地区因地制宜，灵活采取有线、无线等技术方式进行接入网建设。</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按照高速传送、综合承载、智能感知、安全可控的思路，推进城域网建设。逐步推动高速传输、分组化传送和大容量路由交换技术在城域网应用，扩大城域网带宽，提高流量承载能力；推进网络智能化改造，提升城域网的多业务承载、感知和安全管控水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按照优化架构、提升容量、智能调度、高效可靠的思路，推进骨干网建设。优化骨干网络架构，完善国际网络布局，全面推广超高速波分复用系统和集群路由器技术，提升骨干网络容量和智能调度能力，保障网络高速高效和安全可靠运行。</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（二）发展时间表。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1.全面提速阶段（至2013年底）。重点加强光纤网络和3G网络建设，提高宽带网络接入速率，改善和提升用户上网体验。</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城市地区着力推进光纤化成片改造，农村地区灵活采用有线和无线方式加快行政村宽带接入网建设，提高接入速度和网络使用性价比。进一步提升城市3G网络质量，扩大农村3G网络覆盖范围，做好时分双工模式移动通信长期演进技术（TD-LTE）扩大规模试验工作。加快下一代广播电视网建设，推进“光进铜退”和网络双向化改造，促进互联互通。同步推进城域网扩容升级。以网间互联为重点优化互联网骨干网。推动网站升级改造，提高网站接入速率。</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到2013年底，固定宽带用户超过2.1亿户，城市和农村家庭固定宽带普及率分别达到55%和20%。3G/LTE用户超过3.3亿户，用户普及率达到25%。行政村通宽带比例达到90%。城市地区宽带用户中20Mbps宽带接入能力覆盖比例达到80%，农村地区宽带用户中4Mbps宽带接入能力覆盖比例达到85%。城乡无线宽带网络覆盖水平明显提升，无线局域网基本实现城市重要公共区域热点覆盖。全国有线电视网络互联互通平台覆盖有线电视网络用户比例达到60%。</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2.推广普及阶段（2014-2015年）。重点在继续推进宽带网络提速的同时，加快扩大宽带网络覆盖范围和规模，深化应用普及。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城市地区加快扩大光纤到户网络覆盖范围和规模，农村地区积极采用无线技术加快宽带网络向行政村延伸，有条件的农村地区推进光纤到村。持续扩大3G覆盖范围和深度，推动TD-LTE规模商用。继续推进下一代广播电视网建设，进一步扩大下一代广播电视网覆盖范围，加速互联互通。全面优化国家骨干网络。加强光通信、宽带无线通信、下一代互联网、下一代广播电视网、云计算等重点领域新技术研发，在部分重点领域取得原始创新成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到2015年，固定宽带用户超过2.7亿户，城市和农村家庭固定宽带普及率分别达到65%和30%。3G/LTE用户超过4.5亿户，用户普及率达到32.5%。行政村通宽带比例达到95%。城市家庭宽带接入能力基本达到20Mbps，部分发达城市达到100Mbps，农村家庭宽带接入能力达到4Mbps。3G网络基本覆盖城乡，LTE实现规模商用，无线局域网全面实现公共区域热点覆盖，服务质量全面提升。互联网网民规模达到8.5亿，应用能力和服务水平显著提高。全国有线电视网络互联互通平台覆盖有线电视网络用户比例达到80%。互联网骨干网间互通质量、互联网服务提供商接入带宽和质量满足业务发展需求。在宽带无线通信、云计算等重点领域掌握一批拥有自主知识产权的核心关键技术。宽带技术标准体系逐步完善，国际标准话语权明显提高。</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3.优化升级阶段（2016-2020年）。重点推进宽带网络优化和技术演进升级，宽带网络服务质量、应用水平和宽带产业支撑能力达到世界先进水平。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到2020年，基本建成覆盖城乡、服务便捷、高速畅通、技术先进的宽带网络基础设施。固定宽带用户达到4亿户，家庭普及率达到70%，光纤网络覆盖城市家庭。3G/LTE用户超过12亿户，用户普及率达到85%。行政村通宽带比例超过98%，并采用多种技术方式向有条件的自然村延伸。城市和农村家庭宽带接入能力分别达到50Mbps和12Mbps，50%的城市家庭用户达到100Mbps，发达城市部分家庭用户可达1Gbps，LTE基本覆盖城乡。互联网网民规模达到11亿，宽带应用服务水平和应用能力大幅提升。全国有线电视网络互联互通平台覆盖有线电视网络用户比例超过95%。全面突破制约宽带产业发展的高端基础产业瓶颈，宽带技术研发达到国际先进水平，建成结构完善、具有国际竞争力的宽带产业链，形成一批世界领先的创新型企业。 </w:t>
            </w:r>
          </w:p>
          <w:tbl>
            <w:tblPr>
              <w:tblW w:w="0" w:type="auto"/>
              <w:tblInd w:w="-2" w:type="dxa"/>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Layout w:type="autofit"/>
              <w:tblCellMar>
                <w:top w:w="30" w:type="dxa"/>
                <w:left w:w="30" w:type="dxa"/>
                <w:bottom w:w="30" w:type="dxa"/>
                <w:right w:w="30" w:type="dxa"/>
              </w:tblCellMar>
            </w:tblPr>
            <w:tblGrid>
              <w:gridCol w:w="3150"/>
              <w:gridCol w:w="1395"/>
              <w:gridCol w:w="1426"/>
              <w:gridCol w:w="33"/>
              <w:gridCol w:w="1217"/>
              <w:gridCol w:w="1070"/>
            </w:tblGrid>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271" w:hRule="atLeast"/>
              </w:trPr>
              <w:tc>
                <w:tcPr>
                  <w:tcW w:w="8388" w:type="dxa"/>
                  <w:gridSpan w:val="6"/>
                  <w:tcBorders>
                    <w:top w:val="single" w:color="auto" w:sz="8" w:space="0"/>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1995"/>
                    <w:jc w:val="center"/>
                  </w:pPr>
                  <w:r>
                    <w:rPr>
                      <w:rStyle w:val="5"/>
                      <w:rFonts w:hint="eastAsia" w:ascii="宋体" w:hAnsi="宋体" w:eastAsia="宋体" w:cs="宋体"/>
                      <w:sz w:val="24"/>
                      <w:szCs w:val="24"/>
                      <w:bdr w:val="none" w:color="auto" w:sz="0" w:space="0"/>
                    </w:rPr>
                    <w:t>“宽带中国”发展目标与发展时间表</w:t>
                  </w:r>
                  <w:r>
                    <w:rPr>
                      <w:bdr w:val="none" w:color="auto" w:sz="0" w:space="0"/>
                    </w:rPr>
                    <w:t>           </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226" w:hRule="atLeast"/>
              </w:trPr>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指标</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315"/>
                  </w:pPr>
                  <w:r>
                    <w:rPr>
                      <w:rFonts w:hint="eastAsia" w:ascii="宋体" w:hAnsi="宋体" w:eastAsia="宋体" w:cs="宋体"/>
                      <w:sz w:val="20"/>
                      <w:szCs w:val="20"/>
                      <w:bdr w:val="none" w:color="auto" w:sz="0" w:space="0"/>
                    </w:rPr>
                    <w:t>单位</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2013</w:t>
                  </w:r>
                  <w:r>
                    <w:rPr>
                      <w:rFonts w:hint="eastAsia" w:ascii="宋体" w:hAnsi="宋体" w:eastAsia="宋体" w:cs="宋体"/>
                      <w:sz w:val="20"/>
                      <w:szCs w:val="20"/>
                      <w:bdr w:val="none" w:color="auto" w:sz="0" w:space="0"/>
                    </w:rPr>
                    <w:t>年</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2015</w:t>
                  </w:r>
                  <w:r>
                    <w:rPr>
                      <w:rFonts w:hint="eastAsia" w:ascii="宋体" w:hAnsi="宋体" w:eastAsia="宋体" w:cs="宋体"/>
                      <w:sz w:val="20"/>
                      <w:szCs w:val="20"/>
                      <w:bdr w:val="none" w:color="auto" w:sz="0" w:space="0"/>
                    </w:rPr>
                    <w:t>年</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2020</w:t>
                  </w:r>
                  <w:r>
                    <w:rPr>
                      <w:rFonts w:hint="eastAsia" w:ascii="宋体" w:hAnsi="宋体" w:eastAsia="宋体" w:cs="宋体"/>
                      <w:sz w:val="20"/>
                      <w:szCs w:val="20"/>
                      <w:bdr w:val="none" w:color="auto" w:sz="0" w:space="0"/>
                    </w:rPr>
                    <w:t>年</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8388" w:type="dxa"/>
                  <w:gridSpan w:val="6"/>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2520"/>
                    <w:jc w:val="center"/>
                  </w:pPr>
                  <w:r>
                    <w:rPr>
                      <w:sz w:val="20"/>
                      <w:szCs w:val="20"/>
                      <w:bdr w:val="none" w:color="auto" w:sz="0" w:space="0"/>
                    </w:rPr>
                    <w:t>1</w:t>
                  </w:r>
                  <w:r>
                    <w:rPr>
                      <w:rFonts w:hint="eastAsia" w:ascii="宋体" w:hAnsi="宋体" w:eastAsia="宋体" w:cs="宋体"/>
                      <w:sz w:val="20"/>
                      <w:szCs w:val="20"/>
                      <w:bdr w:val="none" w:color="auto" w:sz="0" w:space="0"/>
                    </w:rPr>
                    <w:t>.宽带用户规模                      </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固定宽带接入用户</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亿户</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2.1</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2.7</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4.0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其中：光纤到户（</w:t>
                  </w:r>
                  <w:r>
                    <w:rPr>
                      <w:sz w:val="20"/>
                      <w:szCs w:val="20"/>
                      <w:bdr w:val="none" w:color="auto" w:sz="0" w:space="0"/>
                    </w:rPr>
                    <w:t>FTTH</w:t>
                  </w:r>
                  <w:r>
                    <w:rPr>
                      <w:rFonts w:hint="eastAsia" w:ascii="宋体" w:hAnsi="宋体" w:eastAsia="宋体" w:cs="宋体"/>
                      <w:sz w:val="20"/>
                      <w:szCs w:val="20"/>
                      <w:bdr w:val="none" w:color="auto" w:sz="0" w:space="0"/>
                    </w:rPr>
                    <w:t>）用户</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亿户</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0.3</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0.7</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其中：城市宽带用户</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亿户</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1.6</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1050"/>
                  </w:pPr>
                  <w:r>
                    <w:rPr>
                      <w:rFonts w:hint="eastAsia" w:ascii="宋体" w:hAnsi="宋体" w:eastAsia="宋体" w:cs="宋体"/>
                      <w:sz w:val="20"/>
                      <w:szCs w:val="20"/>
                      <w:bdr w:val="none" w:color="auto" w:sz="0" w:space="0"/>
                    </w:rPr>
                    <w:t>农村宽带用户</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亿户</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0.5</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0.7</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3G/LTE</w:t>
                  </w:r>
                  <w:r>
                    <w:rPr>
                      <w:rFonts w:hint="eastAsia" w:ascii="宋体" w:hAnsi="宋体" w:eastAsia="宋体" w:cs="宋体"/>
                      <w:sz w:val="20"/>
                      <w:szCs w:val="20"/>
                      <w:bdr w:val="none" w:color="auto" w:sz="0" w:space="0"/>
                    </w:rPr>
                    <w:t>用户</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亿户</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3.3</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4.5</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12</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8388" w:type="dxa"/>
                  <w:gridSpan w:val="6"/>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3150"/>
                  </w:pPr>
                  <w:r>
                    <w:rPr>
                      <w:bdr w:val="none" w:color="auto" w:sz="0" w:space="0"/>
                    </w:rPr>
                    <w:t>   </w:t>
                  </w:r>
                  <w:r>
                    <w:rPr>
                      <w:sz w:val="20"/>
                      <w:szCs w:val="20"/>
                      <w:bdr w:val="none" w:color="auto" w:sz="0" w:space="0"/>
                    </w:rPr>
                    <w:t>2.</w:t>
                  </w:r>
                  <w:r>
                    <w:rPr>
                      <w:rFonts w:hint="eastAsia" w:ascii="宋体" w:hAnsi="宋体" w:eastAsia="宋体" w:cs="宋体"/>
                      <w:sz w:val="20"/>
                      <w:szCs w:val="20"/>
                      <w:bdr w:val="none" w:color="auto" w:sz="0" w:space="0"/>
                    </w:rPr>
                    <w:t>宽带普及水平</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固定宽带家庭普及率</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40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50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70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其中：城市家庭普及率</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55</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65</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1050"/>
                  </w:pPr>
                  <w:r>
                    <w:rPr>
                      <w:rFonts w:hint="eastAsia" w:ascii="宋体" w:hAnsi="宋体" w:eastAsia="宋体" w:cs="宋体"/>
                      <w:sz w:val="20"/>
                      <w:szCs w:val="20"/>
                      <w:bdr w:val="none" w:color="auto" w:sz="0" w:space="0"/>
                    </w:rPr>
                    <w:t>农村家庭普及率</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3G/LTE</w:t>
                  </w:r>
                  <w:r>
                    <w:rPr>
                      <w:rFonts w:hint="eastAsia" w:ascii="宋体" w:hAnsi="宋体" w:eastAsia="宋体" w:cs="宋体"/>
                      <w:sz w:val="20"/>
                      <w:szCs w:val="20"/>
                      <w:bdr w:val="none" w:color="auto" w:sz="0" w:space="0"/>
                    </w:rPr>
                    <w:t>用户普及率</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25</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32</w:t>
                  </w:r>
                  <w:r>
                    <w:rPr>
                      <w:rFonts w:hint="eastAsia" w:ascii="宋体" w:hAnsi="宋体" w:eastAsia="宋体" w:cs="宋体"/>
                      <w:sz w:val="20"/>
                      <w:szCs w:val="20"/>
                      <w:bdr w:val="none" w:color="auto" w:sz="0" w:space="0"/>
                    </w:rPr>
                    <w:t>.</w:t>
                  </w:r>
                  <w:r>
                    <w:rPr>
                      <w:sz w:val="20"/>
                      <w:szCs w:val="20"/>
                      <w:bdr w:val="none" w:color="auto" w:sz="0" w:space="0"/>
                    </w:rPr>
                    <w:t>5</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85</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8388" w:type="dxa"/>
                  <w:gridSpan w:val="6"/>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2837"/>
                  </w:pPr>
                  <w:r>
                    <w:rPr>
                      <w:bdr w:val="none" w:color="auto" w:sz="0" w:space="0"/>
                    </w:rPr>
                    <w:t>     </w:t>
                  </w:r>
                  <w:r>
                    <w:rPr>
                      <w:sz w:val="20"/>
                      <w:szCs w:val="20"/>
                      <w:bdr w:val="none" w:color="auto" w:sz="0" w:space="0"/>
                    </w:rPr>
                    <w:t> 3.</w:t>
                  </w:r>
                  <w:r>
                    <w:rPr>
                      <w:rFonts w:hint="eastAsia" w:ascii="宋体" w:hAnsi="宋体" w:eastAsia="宋体" w:cs="宋体"/>
                      <w:sz w:val="20"/>
                      <w:szCs w:val="20"/>
                      <w:bdr w:val="none" w:color="auto" w:sz="0" w:space="0"/>
                    </w:rPr>
                    <w:t>宽带网络能力</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226" w:hRule="atLeast"/>
              </w:trPr>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城市宽带接入能力</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Mbps</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w:t>
                  </w:r>
                  <w:r>
                    <w:rPr>
                      <w:rFonts w:hint="eastAsia" w:ascii="宋体" w:hAnsi="宋体" w:eastAsia="宋体" w:cs="宋体"/>
                      <w:sz w:val="20"/>
                      <w:szCs w:val="20"/>
                      <w:bdr w:val="none" w:color="auto" w:sz="0" w:space="0"/>
                    </w:rPr>
                    <w:t>（</w:t>
                  </w:r>
                  <w:r>
                    <w:rPr>
                      <w:sz w:val="20"/>
                      <w:szCs w:val="20"/>
                      <w:bdr w:val="none" w:color="auto" w:sz="0" w:space="0"/>
                    </w:rPr>
                    <w:t>80%</w:t>
                  </w:r>
                  <w:r>
                    <w:rPr>
                      <w:rFonts w:hint="eastAsia" w:ascii="宋体" w:hAnsi="宋体" w:eastAsia="宋体" w:cs="宋体"/>
                      <w:sz w:val="20"/>
                      <w:szCs w:val="20"/>
                      <w:bdr w:val="none" w:color="auto" w:sz="0" w:space="0"/>
                    </w:rPr>
                    <w:t>用户）</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50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450" w:hRule="atLeast"/>
              </w:trPr>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其中：发达城市</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Mbps</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bdr w:val="none" w:color="auto" w:sz="0" w:space="0"/>
                    </w:rPr>
                    <w:t> </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100</w:t>
                  </w:r>
                  <w:r>
                    <w:rPr>
                      <w:rFonts w:hint="eastAsia" w:ascii="宋体" w:hAnsi="宋体" w:eastAsia="宋体" w:cs="宋体"/>
                      <w:sz w:val="20"/>
                      <w:szCs w:val="20"/>
                      <w:bdr w:val="none" w:color="auto" w:sz="0" w:space="0"/>
                    </w:rPr>
                    <w:t>（部分城市）</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1000</w:t>
                  </w:r>
                  <w:r>
                    <w:rPr>
                      <w:rFonts w:hint="eastAsia" w:ascii="宋体" w:hAnsi="宋体" w:eastAsia="宋体" w:cs="宋体"/>
                      <w:sz w:val="20"/>
                      <w:szCs w:val="20"/>
                      <w:bdr w:val="none" w:color="auto" w:sz="0" w:space="0"/>
                    </w:rPr>
                    <w:t>（部分用户）</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农村宽带接入能力</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Mbps</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4</w:t>
                  </w:r>
                  <w:r>
                    <w:rPr>
                      <w:rFonts w:hint="eastAsia" w:ascii="宋体" w:hAnsi="宋体" w:eastAsia="宋体" w:cs="宋体"/>
                      <w:sz w:val="20"/>
                      <w:szCs w:val="20"/>
                      <w:bdr w:val="none" w:color="auto" w:sz="0" w:space="0"/>
                    </w:rPr>
                    <w:t>（</w:t>
                  </w:r>
                  <w:r>
                    <w:rPr>
                      <w:sz w:val="20"/>
                      <w:szCs w:val="20"/>
                      <w:bdr w:val="none" w:color="auto" w:sz="0" w:space="0"/>
                    </w:rPr>
                    <w:t>85%</w:t>
                  </w:r>
                  <w:r>
                    <w:rPr>
                      <w:rFonts w:hint="eastAsia" w:ascii="宋体" w:hAnsi="宋体" w:eastAsia="宋体" w:cs="宋体"/>
                      <w:sz w:val="20"/>
                      <w:szCs w:val="20"/>
                      <w:bdr w:val="none" w:color="auto" w:sz="0" w:space="0"/>
                    </w:rPr>
                    <w:t>用户）</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4</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12</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大型企事业单位接入带宽</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Mbps</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bdr w:val="none" w:color="auto" w:sz="0" w:space="0"/>
                    </w:rPr>
                    <w:t> </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center"/>
                </w:tcPr>
                <w:p>
                  <w:pPr>
                    <w:pStyle w:val="2"/>
                    <w:keepNext w:val="0"/>
                    <w:keepLines w:val="0"/>
                    <w:widowControl/>
                    <w:suppressLineNumbers w:val="0"/>
                  </w:pPr>
                  <w:r>
                    <w:rPr>
                      <w:rFonts w:hint="eastAsia" w:ascii="宋体" w:hAnsi="宋体" w:eastAsia="宋体" w:cs="宋体"/>
                      <w:sz w:val="20"/>
                      <w:szCs w:val="20"/>
                      <w:bdr w:val="none" w:color="auto" w:sz="0" w:space="0"/>
                    </w:rPr>
                    <w:t>大于</w:t>
                  </w:r>
                  <w:r>
                    <w:rPr>
                      <w:sz w:val="20"/>
                      <w:szCs w:val="20"/>
                      <w:bdr w:val="none" w:color="auto" w:sz="0" w:space="0"/>
                    </w:rPr>
                    <w:t>100</w:t>
                  </w:r>
                  <w:r>
                    <w:rPr>
                      <w:bdr w:val="none" w:color="auto" w:sz="0" w:space="0"/>
                    </w:rPr>
                    <w:t>  </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bottom"/>
                </w:tcPr>
                <w:p>
                  <w:pPr>
                    <w:pStyle w:val="2"/>
                    <w:keepNext w:val="0"/>
                    <w:keepLines w:val="0"/>
                    <w:widowControl/>
                    <w:suppressLineNumbers w:val="0"/>
                  </w:pPr>
                  <w:r>
                    <w:rPr>
                      <w:rFonts w:hint="eastAsia" w:ascii="宋体" w:hAnsi="宋体" w:eastAsia="宋体" w:cs="宋体"/>
                      <w:sz w:val="20"/>
                      <w:szCs w:val="20"/>
                      <w:bdr w:val="none" w:color="auto" w:sz="0" w:space="0"/>
                    </w:rPr>
                    <w:t>大于1000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互联网国际出口带宽</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Gbps</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2500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6500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226" w:hRule="atLeast"/>
              </w:trPr>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FTTH</w:t>
                  </w:r>
                  <w:r>
                    <w:rPr>
                      <w:rFonts w:hint="eastAsia" w:ascii="宋体" w:hAnsi="宋体" w:eastAsia="宋体" w:cs="宋体"/>
                      <w:sz w:val="20"/>
                      <w:szCs w:val="20"/>
                      <w:bdr w:val="none" w:color="auto" w:sz="0" w:space="0"/>
                    </w:rPr>
                    <w:t>覆盖家庭</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亿个</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w:t>
                  </w:r>
                  <w:r>
                    <w:rPr>
                      <w:rFonts w:hint="eastAsia" w:ascii="宋体" w:hAnsi="宋体" w:eastAsia="宋体" w:cs="宋体"/>
                      <w:sz w:val="20"/>
                      <w:szCs w:val="20"/>
                      <w:bdr w:val="none" w:color="auto" w:sz="0" w:space="0"/>
                    </w:rPr>
                    <w:t>.</w:t>
                  </w:r>
                  <w:r>
                    <w:rPr>
                      <w:sz w:val="20"/>
                      <w:szCs w:val="20"/>
                      <w:bdr w:val="none" w:color="auto" w:sz="0" w:space="0"/>
                    </w:rPr>
                    <w:t>3</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w:t>
                  </w:r>
                  <w:r>
                    <w:rPr>
                      <w:rFonts w:hint="eastAsia" w:ascii="宋体" w:hAnsi="宋体" w:eastAsia="宋体" w:cs="宋体"/>
                      <w:sz w:val="20"/>
                      <w:szCs w:val="20"/>
                      <w:bdr w:val="none" w:color="auto" w:sz="0" w:space="0"/>
                    </w:rPr>
                    <w:t>.</w:t>
                  </w:r>
                  <w:r>
                    <w:rPr>
                      <w:sz w:val="20"/>
                      <w:szCs w:val="20"/>
                      <w:bdr w:val="none" w:color="auto" w:sz="0" w:space="0"/>
                    </w:rPr>
                    <w:t>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w:t>
                  </w:r>
                  <w:r>
                    <w:rPr>
                      <w:rFonts w:hint="eastAsia" w:ascii="宋体" w:hAnsi="宋体" w:eastAsia="宋体" w:cs="宋体"/>
                      <w:sz w:val="20"/>
                      <w:szCs w:val="20"/>
                      <w:bdr w:val="none" w:color="auto" w:sz="0" w:space="0"/>
                    </w:rPr>
                    <w:t>.</w:t>
                  </w:r>
                  <w:r>
                    <w:rPr>
                      <w:sz w:val="20"/>
                      <w:szCs w:val="20"/>
                      <w:bdr w:val="none" w:color="auto" w:sz="0" w:space="0"/>
                    </w:rPr>
                    <w:t>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rPr>
                <w:trHeight w:val="271" w:hRule="atLeast"/>
              </w:trPr>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3G/LTE</w:t>
                  </w:r>
                  <w:r>
                    <w:rPr>
                      <w:rFonts w:hint="eastAsia" w:ascii="宋体" w:hAnsi="宋体" w:eastAsia="宋体" w:cs="宋体"/>
                      <w:sz w:val="20"/>
                      <w:szCs w:val="20"/>
                      <w:bdr w:val="none" w:color="auto" w:sz="0" w:space="0"/>
                    </w:rPr>
                    <w:t>基站规模</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万个</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95</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120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行政村通宽带比例</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bdr w:val="none" w:color="auto" w:sz="0" w:space="0"/>
                    </w:rPr>
                    <w:t>%</w:t>
                  </w:r>
                </w:p>
              </w:tc>
              <w:tc>
                <w:tcPr>
                  <w:tcW w:w="1545"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90</w:t>
                  </w:r>
                </w:p>
              </w:tc>
              <w:tc>
                <w:tcPr>
                  <w:tcW w:w="1290"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95</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w:t>
                  </w:r>
                  <w:r>
                    <w:rPr>
                      <w:sz w:val="20"/>
                      <w:szCs w:val="20"/>
                      <w:bdr w:val="none" w:color="auto" w:sz="0" w:space="0"/>
                    </w:rPr>
                    <w:t>98</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全国有线电视网络互联互通平台覆盖有线电视网络用户比例</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bdr w:val="none" w:color="auto" w:sz="0" w:space="0"/>
                    </w:rPr>
                    <w:t>%</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60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80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w:t>
                  </w:r>
                  <w:r>
                    <w:rPr>
                      <w:sz w:val="20"/>
                      <w:szCs w:val="20"/>
                      <w:bdr w:val="none" w:color="auto" w:sz="0" w:space="0"/>
                    </w:rPr>
                    <w:t>95</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8388" w:type="dxa"/>
                  <w:gridSpan w:val="6"/>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3570"/>
                  </w:pPr>
                  <w:r>
                    <w:rPr>
                      <w:rFonts w:hint="eastAsia" w:ascii="宋体" w:hAnsi="宋体" w:eastAsia="宋体" w:cs="宋体"/>
                      <w:sz w:val="20"/>
                      <w:szCs w:val="20"/>
                      <w:bdr w:val="none" w:color="auto" w:sz="0" w:space="0"/>
                    </w:rPr>
                    <w:t>4.宽带信息应用</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shd w:val="clear" w:color="auto" w:fill="FFFFFF"/>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网民数量</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亿人</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7</w:t>
                  </w:r>
                  <w:r>
                    <w:rPr>
                      <w:rFonts w:hint="eastAsia" w:ascii="宋体" w:hAnsi="宋体" w:eastAsia="宋体" w:cs="宋体"/>
                      <w:sz w:val="20"/>
                      <w:szCs w:val="20"/>
                      <w:bdr w:val="none" w:color="auto" w:sz="0" w:space="0"/>
                    </w:rPr>
                    <w:t>.</w:t>
                  </w:r>
                  <w:r>
                    <w:rPr>
                      <w:sz w:val="20"/>
                      <w:szCs w:val="20"/>
                      <w:bdr w:val="none" w:color="auto" w:sz="0" w:space="0"/>
                    </w:rPr>
                    <w:t>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8</w:t>
                  </w:r>
                  <w:r>
                    <w:rPr>
                      <w:rFonts w:hint="eastAsia" w:ascii="宋体" w:hAnsi="宋体" w:eastAsia="宋体" w:cs="宋体"/>
                      <w:sz w:val="20"/>
                      <w:szCs w:val="20"/>
                      <w:bdr w:val="none" w:color="auto" w:sz="0" w:space="0"/>
                    </w:rPr>
                    <w:t>.</w:t>
                  </w:r>
                  <w:r>
                    <w:rPr>
                      <w:sz w:val="20"/>
                      <w:szCs w:val="20"/>
                      <w:bdr w:val="none" w:color="auto" w:sz="0" w:space="0"/>
                    </w:rPr>
                    <w:t>5</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11</w:t>
                  </w:r>
                  <w:r>
                    <w:rPr>
                      <w:rFonts w:hint="eastAsia" w:ascii="宋体" w:hAnsi="宋体" w:eastAsia="宋体" w:cs="宋体"/>
                      <w:sz w:val="20"/>
                      <w:szCs w:val="20"/>
                      <w:bdr w:val="none" w:color="auto" w:sz="0" w:space="0"/>
                    </w:rPr>
                    <w:t>.</w:t>
                  </w:r>
                  <w:r>
                    <w:rPr>
                      <w:sz w:val="20"/>
                      <w:szCs w:val="20"/>
                      <w:bdr w:val="none" w:color="auto" w:sz="0" w:space="0"/>
                    </w:rPr>
                    <w:t>0</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ind w:left="0" w:firstLine="420"/>
                  </w:pPr>
                  <w:r>
                    <w:rPr>
                      <w:rFonts w:hint="eastAsia" w:ascii="宋体" w:hAnsi="宋体" w:eastAsia="宋体" w:cs="宋体"/>
                      <w:sz w:val="20"/>
                      <w:szCs w:val="20"/>
                      <w:bdr w:val="none" w:color="auto" w:sz="0" w:space="0"/>
                    </w:rPr>
                    <w:t>其中：农村网民</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亿人</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w:t>
                  </w:r>
                  <w:r>
                    <w:rPr>
                      <w:rFonts w:hint="eastAsia" w:ascii="宋体" w:hAnsi="宋体" w:eastAsia="宋体" w:cs="宋体"/>
                      <w:sz w:val="20"/>
                      <w:szCs w:val="20"/>
                      <w:bdr w:val="none" w:color="auto" w:sz="0" w:space="0"/>
                    </w:rPr>
                    <w:t>.</w:t>
                  </w:r>
                  <w:r>
                    <w:rPr>
                      <w:sz w:val="20"/>
                      <w:szCs w:val="20"/>
                      <w:bdr w:val="none" w:color="auto" w:sz="0" w:space="0"/>
                    </w:rPr>
                    <w:t>8</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2</w:t>
                  </w:r>
                  <w:r>
                    <w:rPr>
                      <w:rFonts w:hint="eastAsia" w:ascii="宋体" w:hAnsi="宋体" w:eastAsia="宋体" w:cs="宋体"/>
                      <w:sz w:val="20"/>
                      <w:szCs w:val="20"/>
                      <w:bdr w:val="none" w:color="auto" w:sz="0" w:space="0"/>
                    </w:rPr>
                    <w:t>.</w:t>
                  </w:r>
                  <w:r>
                    <w:rPr>
                      <w:sz w:val="20"/>
                      <w:szCs w:val="20"/>
                      <w:bdr w:val="none" w:color="auto" w:sz="0" w:space="0"/>
                    </w:rPr>
                    <w:t>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互联网数据量（网页总字节）</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太字节</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7800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15000</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bdr w:val="none" w:color="auto" w:sz="0" w:space="0"/>
                    </w:rPr>
                    <w:t> </w:t>
                  </w:r>
                </w:p>
              </w:tc>
            </w:tr>
            <w:tr>
              <w:tblPrEx>
                <w:tblBorders>
                  <w:top w:val="outset" w:color="DCDCDC" w:sz="6" w:space="0"/>
                  <w:left w:val="outset" w:color="DCDCDC" w:sz="6" w:space="0"/>
                  <w:bottom w:val="outset" w:color="DCDCDC" w:sz="6" w:space="0"/>
                  <w:right w:val="outset" w:color="DCDCDC" w:sz="6" w:space="0"/>
                  <w:insideH w:val="outset" w:color="DCDCDC" w:sz="6" w:space="0"/>
                  <w:insideV w:val="outset" w:color="DCDCDC" w:sz="6" w:space="0"/>
                </w:tblBorders>
                <w:tblCellMar>
                  <w:top w:w="30" w:type="dxa"/>
                  <w:left w:w="30" w:type="dxa"/>
                  <w:bottom w:w="30" w:type="dxa"/>
                  <w:right w:w="30" w:type="dxa"/>
                </w:tblCellMar>
              </w:tblPrEx>
              <w:tc>
                <w:tcPr>
                  <w:tcW w:w="3367" w:type="dxa"/>
                  <w:tcBorders>
                    <w:top w:val="nil"/>
                    <w:left w:val="single" w:color="auto" w:sz="8" w:space="0"/>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电子商务交易额</w:t>
                  </w:r>
                </w:p>
              </w:tc>
              <w:tc>
                <w:tcPr>
                  <w:tcW w:w="147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sz w:val="20"/>
                      <w:szCs w:val="20"/>
                      <w:bdr w:val="none" w:color="auto" w:sz="0" w:space="0"/>
                    </w:rPr>
                    <w:t>万亿元</w:t>
                  </w:r>
                </w:p>
              </w:tc>
              <w:tc>
                <w:tcPr>
                  <w:tcW w:w="1509"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10</w:t>
                  </w:r>
                </w:p>
              </w:tc>
              <w:tc>
                <w:tcPr>
                  <w:tcW w:w="1293" w:type="dxa"/>
                  <w:gridSpan w:val="2"/>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sz w:val="20"/>
                      <w:szCs w:val="20"/>
                      <w:bdr w:val="none" w:color="auto" w:sz="0" w:space="0"/>
                    </w:rPr>
                    <w:t>18</w:t>
                  </w:r>
                </w:p>
              </w:tc>
              <w:tc>
                <w:tcPr>
                  <w:tcW w:w="1114" w:type="dxa"/>
                  <w:tcBorders>
                    <w:top w:val="nil"/>
                    <w:left w:val="nil"/>
                    <w:bottom w:val="single" w:color="auto" w:sz="8" w:space="0"/>
                    <w:right w:val="single" w:color="auto" w:sz="8" w:space="0"/>
                  </w:tcBorders>
                  <w:shd w:val="clear" w:color="auto" w:fill="FFFFFF"/>
                  <w:tcMar>
                    <w:top w:w="0" w:type="dxa"/>
                    <w:left w:w="108" w:type="dxa"/>
                    <w:bottom w:w="0" w:type="dxa"/>
                    <w:right w:w="108" w:type="dxa"/>
                  </w:tcMar>
                  <w:vAlign w:val="top"/>
                </w:tcPr>
                <w:p>
                  <w:pPr>
                    <w:pStyle w:val="2"/>
                    <w:keepNext w:val="0"/>
                    <w:keepLines w:val="0"/>
                    <w:widowControl/>
                    <w:suppressLineNumbers w:val="0"/>
                  </w:pPr>
                  <w:r>
                    <w:rPr>
                      <w:rFonts w:hint="eastAsia" w:ascii="宋体" w:hAnsi="宋体" w:eastAsia="宋体" w:cs="宋体"/>
                      <w:bdr w:val="none" w:color="auto" w:sz="0" w:space="0"/>
                    </w:rPr>
                    <w:t>——</w:t>
                  </w:r>
                </w:p>
              </w:tc>
            </w:tr>
          </w:tbl>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三、重点任务</w:t>
            </w:r>
            <w:r>
              <w:rPr>
                <w:rStyle w:val="5"/>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（一）推进区域宽带网络协调发展。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东部地区。支持东部地区先行先试开展网络升级和应用创新。积极利用光纤和新一代移动通信技术、下一代广播电视网技术，全面提升宽带网络速度与性能，着力缩小与发达国家差距；加快部署基于IPv6的下一代互联网；鼓励东部地区结合本地经济社会发展需要，积极开展区域试点示范，创新宽带应用服务，培育发展新业务、新业态。</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中西部地区。给予政策倾斜，支持中西部地区宽带网络建设，增加光缆路由，提升骨干网络容量，扩大接入网络覆盖范围，与东部地区同步部署应用新一代移动通信技术、下一代广播电视网技术和下一代互联网。加快中西部地区信息内容和网站的建设，推进具有民族特色的信息资源开发和宽带应用服务。创造有利环境，引导大型云计算数据中心落户中西部条件适宜的地区。</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农村地区。将宽带纳入电信普遍服务范围，重点解决宽带村村通问题。因地制宜采用光纤、铜线、同轴电缆、3G/LTE、微波、卫星等多种技术手段加快宽带网络从乡镇向行政村、自然村延伸。在人口较为密集的农村地区，积极推动光纤等有线方式到村。在人口较为稀少、分散的农村地区，灵活采用各类无线技术实现宽带网络覆盖。加快研发和推广适合农民需求的低成本智能终端。加强各类涉农信息资源的深度开发，完善农村信息化业务平台和服务中心，提高综合网络信息服务水平。</w:t>
            </w: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sz w:val="24"/>
                      <w:szCs w:val="24"/>
                    </w:rPr>
                    <w:t>专栏1  “宽带乡村”工</w:t>
                  </w:r>
                  <w:r>
                    <w:rPr>
                      <w:rStyle w:val="5"/>
                      <w:color w:val="000000"/>
                      <w:sz w:val="24"/>
                      <w:szCs w:val="24"/>
                    </w:rPr>
                    <w:t>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根据农村经济发展水平和地理自然条件，灵活选择接入技术，分类分阶段推进宽带网络向行政村和有条件的自然村延伸。较发达地区在完成行政村通宽带的基础上推进光纤到行政村、宽带到自然村；欠发达地区重点解决行政村宽带覆盖。对建设成本过高的边远地区、山区以及海岛等，可以采用移动、卫星等无线宽带技术解决信息孤岛问题；对幅员宽广、居住分散的牧区，推进无线宽带覆盖；对新规划建设的成片新农村、农牧民安居工程，积极推进光纤到楼和光纤到户建设。</w:t>
                  </w:r>
                </w:p>
              </w:tc>
            </w:tr>
          </w:tbl>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（二）加快宽带网络优化升级。</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骨干网。加快互联网骨干节点升级，推进下一代广播电视网宽带骨干网建设，提升网络流量疏通能力，全面支持IPv6。优化互联网骨干网间互联架构，扩容网间带宽，保障连接性能。增加国际海陆缆通达方向，完善国际业务节点布局，提升国际互联带宽和流量转接能力。升级国家骨干传输网，提升业务承载能力，增强网络安全可靠性。</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接入网和城域网。积极利用各类社会资本，统筹有线、无线技术加快宽带接入网建设。以多种方式推进光纤向用户端延伸，加快下一代广播电视网宽带接入网络的建设，逐步建成以光纤为主、同轴电缆和双绞线等接入资源有效利用的固定宽带接入网络。加大无线宽带网络建设力度，扩大3G网络覆盖范围，提高覆盖质量，协调推进TD-LTE商用发展，加快无线局域网重要公共区域热点覆盖，加快推进地面广播电视数字化进程。推进城域网优化和扩容。加快接入网、城域网IPv6升级改造。规划用地红线内的通信管道等通信设施与住宅区、住宅建筑同步建设，并预先铺设入户光纤，预留设备间，所需投资纳入相应建设项目概算。探索宽带基础设施共建共享的合作新模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应用基础设施。统筹互联网数据中心建设，利用云计算和绿色节能技术进行升级改造，提高能效和集约化水平。扩大内容分发网络容量和覆盖范围，提升服务能力和安全管理水平。增加网站接入带宽，优化空间布局，实现互联网信息源高速接入。同步推动政府、学校、企事业单位外网网站系统及商业网站系统的IPv6升级改造。</w:t>
            </w: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w:t>
                  </w:r>
                  <w:r>
                    <w:rPr>
                      <w:rStyle w:val="5"/>
                      <w:color w:val="000000"/>
                      <w:sz w:val="24"/>
                      <w:szCs w:val="24"/>
                    </w:rPr>
                    <w:t>2  </w:t>
                  </w:r>
                  <w:r>
                    <w:rPr>
                      <w:rStyle w:val="5"/>
                      <w:rFonts w:hint="eastAsia" w:ascii="宋体" w:hAnsi="宋体" w:eastAsia="宋体" w:cs="宋体"/>
                      <w:color w:val="000000"/>
                      <w:sz w:val="24"/>
                      <w:szCs w:val="24"/>
                    </w:rPr>
                    <w:t>宽带网络优化提速</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工程光纤城市建设。支持城市新建区域以光纤到户方式为主部署宽带网络，已建区域采用多种方式加快“光进铜退”改造，推进政府、学校、医疗卫生、科技园区、商务楼宇、宾馆酒店等单位的光纤宽带接入部署，提高接入速率。</w:t>
                  </w:r>
                  <w:r>
                    <w:rPr>
                      <w:rFonts w:ascii="宋体" w:hAnsi="宋体" w:eastAsia="宋体" w:cs="宋体"/>
                      <w:color w:val="000000"/>
                      <w:kern w:val="0"/>
                      <w:sz w:val="20"/>
                      <w:szCs w:val="20"/>
                      <w:lang w:val="en-US" w:eastAsia="zh-CN" w:bidi="ar"/>
                    </w:rPr>
                    <w:br w:type="textWrapping"/>
                  </w: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无线宽带网络建设。支持城市地区以</w:t>
                  </w:r>
                  <w:r>
                    <w:rPr>
                      <w:rFonts w:ascii="宋体" w:hAnsi="宋体" w:eastAsia="宋体" w:cs="宋体"/>
                      <w:color w:val="000000"/>
                      <w:kern w:val="0"/>
                      <w:sz w:val="20"/>
                      <w:szCs w:val="20"/>
                      <w:lang w:val="en-US" w:eastAsia="zh-CN" w:bidi="ar"/>
                    </w:rPr>
                    <w:t>3G/LTE</w:t>
                  </w:r>
                  <w:r>
                    <w:rPr>
                      <w:rFonts w:hint="eastAsia" w:ascii="宋体" w:hAnsi="宋体" w:eastAsia="宋体" w:cs="宋体"/>
                      <w:color w:val="000000"/>
                      <w:kern w:val="0"/>
                      <w:sz w:val="20"/>
                      <w:szCs w:val="20"/>
                      <w:lang w:val="en-US" w:eastAsia="zh-CN" w:bidi="ar"/>
                    </w:rPr>
                    <w:t>网络为主，辅以无线局域网建设无线宽带城市，持续扩大农村地区无线宽带网络的覆盖范围，加大高速公路、高速铁路的无线网络优化力度。</w:t>
                  </w:r>
                  <w:r>
                    <w:rPr>
                      <w:rFonts w:ascii="宋体" w:hAnsi="宋体" w:eastAsia="宋体" w:cs="宋体"/>
                      <w:color w:val="000000"/>
                      <w:kern w:val="0"/>
                      <w:sz w:val="20"/>
                      <w:szCs w:val="20"/>
                      <w:lang w:val="en-US" w:eastAsia="zh-CN" w:bidi="ar"/>
                    </w:rPr>
                    <w:br w:type="textWrapping"/>
                  </w: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下一代广播电视宽带网建设。采用超高速智能光纤和同轴光缆传输技术建设下一代广播电视宽带网，通过光纤到小区、光纤到自然村、光纤到楼等方式，结合同轴电缆入户，充分利用广播电视网海量下行带宽、室内多信息点分布的优势，满足不同用户对弹性接入带宽的需要，加快实现宽带网络优化提速，促进宽带普及。</w:t>
                  </w:r>
                  <w:r>
                    <w:rPr>
                      <w:rFonts w:ascii="宋体" w:hAnsi="宋体" w:eastAsia="宋体" w:cs="宋体"/>
                      <w:color w:val="000000"/>
                      <w:kern w:val="0"/>
                      <w:sz w:val="20"/>
                      <w:szCs w:val="20"/>
                      <w:lang w:val="en-US" w:eastAsia="zh-CN" w:bidi="ar"/>
                    </w:rPr>
                    <w:br w:type="textWrapping"/>
                  </w: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互联网骨干网优化。推进网络结构扁平化，扩展骨干链路带宽，提升承载能力。优化骨干网间直联点布局，探索交换中心发展模式，加强对网间互联质量和交换中心的监测，保障骨干网间互联质量，提高互联网服务提供商的接入速度。</w:t>
                  </w:r>
                  <w:r>
                    <w:rPr>
                      <w:rFonts w:ascii="宋体" w:hAnsi="宋体" w:eastAsia="宋体" w:cs="宋体"/>
                      <w:color w:val="000000"/>
                      <w:kern w:val="0"/>
                      <w:sz w:val="20"/>
                      <w:szCs w:val="20"/>
                      <w:lang w:val="en-US" w:eastAsia="zh-CN" w:bidi="ar"/>
                    </w:rPr>
                    <w:br w:type="textWrapping"/>
                  </w: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骨干传输网优化。适度超前建设超高速大容量光传输系统，持续提升骨干传输网络容量。适时引入和推广智能光传输网技术，提高资源调度的智能化水平。增加西部地区光缆路由密度，推进光缆网向格状网演进，提高国家干线网络安全性能。</w:t>
                  </w:r>
                </w:p>
              </w:tc>
            </w:tr>
          </w:tbl>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（三）提高宽带网络应用水平。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经济发展。不断拓展和深化宽带在生产经营中的应用，加快企业宽带联网和基于网络的流程再造与业务创新，利用信息技术改造提升传统产业，实现网络化、智能化、集约化、绿色化发展，促进产业优化升级。不断创新宽带应用模式，培育新市场新业态，加快电子商务、现代物流、网络金融等现代服务业发展，壮大云计算、物联网、移动互联网、智能终端等新一代信息技术产业。行业专用通信要充分利用公众网络资源，满足宽带化发展需求，逐步减少专用通信网数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社会民生。着力深化宽带网络在教育、医疗、就业、社保等民生领域的应用。加快学校宽带网络覆盖，积极发展在线教育，实现优质教育资源共享。推动医疗卫生机构宽带联网，加速发展远程医疗和网络化医疗应用，促进医疗服务均等化。加快就业和社会保障信息服务体系建设，实现管理服务的全覆盖，推进社会保障卡应用，加快跨区域就业和社会保障信息互联互通。加强对信息化基础薄弱地区和特殊群体的宽带网络覆盖和服务支撑。</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文化建设。加快文化馆（站）、图书馆、博物馆等公益性文化机构和重大文化工程的宽带联网，优化公共文化信息服务体系，大力发展公共数字文化。提升宽带网络对文化事业和文化创意产业的支撑能力，促进宽带网络和文化发展融合，发展数字文化产业等新型文化业态，增强文化传播能力，提高公共文化服务效能和文化产业规模化、集约化水平，推动文化大发展大繁荣。</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国防建设。依托公众网络增强军用网络设施的安全可靠、应急响应和动态恢复能力。利用关键技术研发成果，提升军用网络的技术水平和能力。为军队遂行日常战备、训练演习和非战争军事行动适当预置接入和信道资源。完善公众网络和军用网络资源共享共用、应急组织调度的领导机制和联动工作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应用普及。大力推进信息技术在教育教学中的应用，推进优质教育资源普遍共享，加强网络文明与网络安全教育，引导学生形成良好的用网习惯和正确的网络世界观。设立农村公共宽带互联网服务中心，开展宽带上网及应用技能培训。面向中小企业开展宽带应用技能培训及电子商务、网上营销等指导，鼓励企业利用宽带开展业务和商业模式创新。研发推广特殊人群专用信息终端和应用工具。</w:t>
            </w: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w:t>
                  </w:r>
                  <w:r>
                    <w:rPr>
                      <w:rStyle w:val="5"/>
                      <w:color w:val="000000"/>
                      <w:sz w:val="24"/>
                      <w:szCs w:val="24"/>
                    </w:rPr>
                    <w:t>3  </w:t>
                  </w:r>
                  <w:r>
                    <w:rPr>
                      <w:rStyle w:val="5"/>
                      <w:rFonts w:hint="eastAsia" w:ascii="宋体" w:hAnsi="宋体" w:eastAsia="宋体" w:cs="宋体"/>
                      <w:color w:val="000000"/>
                      <w:sz w:val="24"/>
                      <w:szCs w:val="24"/>
                    </w:rPr>
                    <w:t>中小企业宽带应用示范工程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支持中小企业宽带上网，推动企业将互联网融入其生产经营流程。支持建设面向中小企业的第三方电子商务平台，鼓励开展在线销售、采购、客户关系管理等活动。</w:t>
                  </w:r>
                </w:p>
              </w:tc>
            </w:tr>
          </w:tbl>
          <w:p>
            <w:pPr>
              <w:keepNext w:val="0"/>
              <w:keepLines w:val="0"/>
              <w:widowControl/>
              <w:suppressLineNumbers w:val="0"/>
              <w:spacing w:line="432" w:lineRule="atLeast"/>
              <w:ind w:left="0" w:firstLine="0"/>
              <w:jc w:val="left"/>
              <w:rPr>
                <w:rFonts w:hint="eastAsia" w:ascii="宋体" w:hAnsi="宋体" w:eastAsia="宋体" w:cs="宋体"/>
                <w:caps w:val="0"/>
                <w:color w:val="000000"/>
                <w:spacing w:val="0"/>
                <w:sz w:val="24"/>
                <w:szCs w:val="24"/>
                <w:u w:val="none"/>
              </w:rPr>
            </w:pP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w:t>
                  </w:r>
                  <w:r>
                    <w:rPr>
                      <w:rStyle w:val="5"/>
                      <w:color w:val="000000"/>
                      <w:sz w:val="24"/>
                      <w:szCs w:val="24"/>
                    </w:rPr>
                    <w:t>4  </w:t>
                  </w:r>
                  <w:r>
                    <w:rPr>
                      <w:rStyle w:val="5"/>
                      <w:rFonts w:hint="eastAsia" w:ascii="宋体" w:hAnsi="宋体" w:eastAsia="宋体" w:cs="宋体"/>
                      <w:color w:val="000000"/>
                      <w:sz w:val="24"/>
                      <w:szCs w:val="24"/>
                    </w:rPr>
                    <w:t>贫困学校和特殊教育机构宽带应用示范工程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支持灵活选用不同宽带接入技术，因地制宜为农村地区（尤其是贫困地区和少数民族地区）中小学和残疾人特殊教育机构建设宽带网络设施，开发简便易用的上网终端，丰富特色应用，加大信息助教、助残和扶贫力度，缩小数字鸿沟。</w:t>
                  </w:r>
                </w:p>
              </w:tc>
            </w:tr>
          </w:tbl>
          <w:p>
            <w:pPr>
              <w:keepNext w:val="0"/>
              <w:keepLines w:val="0"/>
              <w:widowControl/>
              <w:suppressLineNumbers w:val="0"/>
              <w:jc w:val="left"/>
            </w:pP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w:t>
                  </w:r>
                  <w:r>
                    <w:rPr>
                      <w:rStyle w:val="5"/>
                      <w:color w:val="000000"/>
                      <w:sz w:val="24"/>
                      <w:szCs w:val="24"/>
                    </w:rPr>
                    <w:t>5  </w:t>
                  </w:r>
                  <w:r>
                    <w:rPr>
                      <w:rStyle w:val="5"/>
                      <w:rFonts w:hint="eastAsia" w:ascii="宋体" w:hAnsi="宋体" w:eastAsia="宋体" w:cs="宋体"/>
                      <w:color w:val="000000"/>
                      <w:sz w:val="24"/>
                      <w:szCs w:val="24"/>
                    </w:rPr>
                    <w:t>数字文化宽带应用示范工程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ind w:left="0" w:firstLine="420"/>
                    <w:jc w:val="left"/>
                  </w:pPr>
                  <w:r>
                    <w:rPr>
                      <w:rFonts w:hint="eastAsia" w:ascii="宋体" w:hAnsi="宋体" w:eastAsia="宋体" w:cs="宋体"/>
                      <w:color w:val="000000"/>
                      <w:sz w:val="20"/>
                      <w:szCs w:val="20"/>
                    </w:rPr>
                    <w:t>建设可智能适配不同宽带接入网络和终端的广播影视、文化馆、图书馆、博物馆等数字文化内容平台，提高数字文化内容平台的宽带联网和互联互通水平，结合宽带网络能力提升创新数字文化服务业态，丰富各类数字文化应用，开发数字文化应用智能终端，开展各类数字文化宽带应用示范，促进宽带网络和文化发展融合，增强文化传播能力。</w:t>
                  </w:r>
                </w:p>
              </w:tc>
            </w:tr>
          </w:tbl>
          <w:p>
            <w:pPr>
              <w:pStyle w:val="2"/>
              <w:keepNext w:val="0"/>
              <w:keepLines w:val="0"/>
              <w:widowControl/>
              <w:suppressLineNumbers w:val="0"/>
              <w:spacing w:line="432" w:lineRule="atLeast"/>
              <w:jc w:val="left"/>
            </w:pPr>
            <w:r>
              <w:rPr>
                <w:rFonts w:hint="eastAsia" w:ascii="宋体" w:hAnsi="宋体" w:eastAsia="宋体" w:cs="宋体"/>
                <w:caps w:val="0"/>
                <w:color w:val="000000"/>
                <w:spacing w:val="0"/>
                <w:sz w:val="24"/>
                <w:szCs w:val="24"/>
                <w:u w:val="none"/>
              </w:rPr>
              <w:t>    （四）促进宽带网络产业链不断完善。</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关键技术研发。推进实施新一代宽带无线移动通信网、下一代互联网等专项和863计划、科技支撑计划等。加强更高速光纤宽带接入、超高速大容量光传输、超大容量路由交换、数字家庭、大规模资源管理调度和数据处理、新一代万维网（Web）、新型人机交互、绿色节能、量子通信等领域关键技术研发，着力突破宽带网络关键核心技术，加速形成自主知识产权。进一步完善宽带网络标准体系，积极参与相关国际标准和规范的研究制定。</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重大产品产业化。在光通信、新一代移动通信、下一代互联网、下一代广播电视网、移动互联网、云计算、数字家庭等重点领域，加大对关键设备核心芯片、高端光电子器件、操作系统等高端产品研发及产业化的支持力度。支持宽带网络核心设备研制、产业化及示范应用，着力突破产业瓶颈，提升自主发展能力。鼓励组建重点领域技术产业联盟，完善产业链上下游协作，推动产业协同创新。</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智能终端研制。充分发挥无线和有线宽带网络能力，面向教育、医疗卫生、交通、家居、节能环保、公共安全等重点领域，积极发展物美价廉的移动终端、互联网电视、平板电脑等多种形态的上网终端产品。推动移动互联网操作系统、核心芯片、关键器件等的研发创新。加快3G、TD－LTE及其他技术制式的多模智能终端研发与推广应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支撑平台建设。充分整合现有资源，在宽带网络相关技术领域，推动国家工程中心、实验室等产业创新能力平台建设。研究制定宽带网络发展评测指标体系，构建覆盖全国的宽带网络信息测试与采集系统，实现宽带网络性能常态化监测。</w:t>
            </w: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专栏6  宽带核心设备研制产业化工程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w:t>
                  </w:r>
                  <w:r>
                    <w:rPr>
                      <w:rFonts w:hint="default" w:ascii="楷体_GB2312" w:hAnsi="宋体" w:eastAsia="楷体_GB2312" w:cs="楷体_GB2312"/>
                      <w:color w:val="000000"/>
                      <w:kern w:val="0"/>
                      <w:sz w:val="20"/>
                      <w:szCs w:val="20"/>
                      <w:lang w:val="en-US" w:eastAsia="zh-CN" w:bidi="ar"/>
                    </w:rPr>
                    <w:t>光纤宽带接入核心设备研制与示范。</w:t>
                  </w:r>
                  <w:r>
                    <w:rPr>
                      <w:rFonts w:hint="eastAsia" w:ascii="宋体" w:hAnsi="宋体" w:eastAsia="宋体" w:cs="宋体"/>
                      <w:color w:val="000000"/>
                      <w:kern w:val="0"/>
                      <w:sz w:val="20"/>
                      <w:szCs w:val="20"/>
                      <w:lang w:val="en-US" w:eastAsia="zh-CN" w:bidi="ar"/>
                    </w:rPr>
                    <w:t>突破大容量、高带宽、长距离的新一代光纤接入网关键技术，研制光接入网设备核心器件芯片，推动智能光分配网络和海量数据管理系统的成熟与产业化，开发测试平台，开展示范应用。</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    </w:t>
                  </w:r>
                  <w:r>
                    <w:rPr>
                      <w:rFonts w:hint="default" w:ascii="楷体_GB2312" w:hAnsi="宋体" w:eastAsia="楷体_GB2312" w:cs="楷体_GB2312"/>
                      <w:color w:val="000000"/>
                      <w:kern w:val="0"/>
                      <w:sz w:val="20"/>
                      <w:szCs w:val="20"/>
                      <w:lang w:val="en-US" w:eastAsia="zh-CN" w:bidi="ar"/>
                    </w:rPr>
                    <w:t>骨干光传输和路由交换设备研制和试点。</w:t>
                  </w:r>
                  <w:r>
                    <w:rPr>
                      <w:rFonts w:hint="eastAsia" w:ascii="宋体" w:hAnsi="宋体" w:eastAsia="宋体" w:cs="宋体"/>
                      <w:color w:val="000000"/>
                      <w:kern w:val="0"/>
                      <w:sz w:val="20"/>
                      <w:szCs w:val="20"/>
                      <w:lang w:val="en-US" w:eastAsia="zh-CN" w:bidi="ar"/>
                    </w:rPr>
                    <w:t>研制下一代光网络体系架构、超高速波分复用传输和智能组网、分组光传送网、高精度时间同步、超大容量路由交换等核心设备，突破相关核心芯片和高端光电器件技术，实现产业化。完善相关国际国内标准，开展技术试验和试点应用。</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    </w:t>
                  </w:r>
                  <w:r>
                    <w:rPr>
                      <w:rFonts w:hint="default" w:ascii="楷体_GB2312" w:hAnsi="宋体" w:eastAsia="楷体_GB2312" w:cs="楷体_GB2312"/>
                      <w:color w:val="000000"/>
                      <w:kern w:val="0"/>
                      <w:sz w:val="20"/>
                      <w:szCs w:val="20"/>
                      <w:lang w:val="en-US" w:eastAsia="zh-CN" w:bidi="ar"/>
                    </w:rPr>
                    <w:t>宽带接入智能终端研发和产业化。</w:t>
                  </w:r>
                  <w:r>
                    <w:rPr>
                      <w:rFonts w:hint="eastAsia" w:ascii="宋体" w:hAnsi="宋体" w:eastAsia="宋体" w:cs="宋体"/>
                      <w:color w:val="000000"/>
                      <w:kern w:val="0"/>
                      <w:sz w:val="20"/>
                      <w:szCs w:val="20"/>
                      <w:lang w:val="en-US" w:eastAsia="zh-CN" w:bidi="ar"/>
                    </w:rPr>
                    <w:t>面向智能手机、智能电视、智能机顶盒、平板电脑等多类型终端和数字家庭网关，组织开展自主操作系统和配套应用的规模商用。突破智能终端处理器芯片、新一代Web、多模态人机交互、多模智能终端和多屏智能切换等关键技术。</w:t>
                  </w:r>
                </w:p>
              </w:tc>
            </w:tr>
          </w:tbl>
          <w:p>
            <w:pPr>
              <w:keepNext w:val="0"/>
              <w:keepLines w:val="0"/>
              <w:widowControl/>
              <w:suppressLineNumbers w:val="0"/>
              <w:jc w:val="left"/>
            </w:pPr>
          </w:p>
          <w:tbl>
            <w:tblPr>
              <w:tblW w:w="4000" w:type="pct"/>
              <w:jc w:val="center"/>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Layout w:type="autofit"/>
              <w:tblCellMar>
                <w:top w:w="15" w:type="dxa"/>
                <w:left w:w="15" w:type="dxa"/>
                <w:bottom w:w="15" w:type="dxa"/>
                <w:right w:w="15" w:type="dxa"/>
              </w:tblCellMar>
            </w:tblPr>
            <w:tblGrid>
              <w:gridCol w:w="6633"/>
            </w:tblGrid>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shd w:val="clear" w:color="auto" w:fill="FFFFFF"/>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pStyle w:val="2"/>
                    <w:keepNext w:val="0"/>
                    <w:keepLines w:val="0"/>
                    <w:widowControl/>
                    <w:suppressLineNumbers w:val="0"/>
                    <w:jc w:val="center"/>
                  </w:pPr>
                  <w:r>
                    <w:rPr>
                      <w:rStyle w:val="5"/>
                      <w:rFonts w:hint="eastAsia" w:ascii="宋体" w:hAnsi="宋体" w:eastAsia="宋体" w:cs="宋体"/>
                      <w:color w:val="000000"/>
                      <w:sz w:val="24"/>
                      <w:szCs w:val="24"/>
                    </w:rPr>
                    <w:t>专栏7  “宽带中国”地图建设工程</w:t>
                  </w:r>
                </w:p>
              </w:tc>
            </w:tr>
            <w:tr>
              <w:tblPrEx>
                <w:tblBorders>
                  <w:top w:val="single" w:color="000000" w:sz="6" w:space="0"/>
                  <w:left w:val="single" w:color="000000" w:sz="6" w:space="0"/>
                  <w:bottom w:val="single" w:color="000000" w:sz="6" w:space="0"/>
                  <w:right w:val="single" w:color="000000" w:sz="6" w:space="0"/>
                  <w:insideH w:val="outset" w:color="000000" w:sz="6" w:space="0"/>
                  <w:insideV w:val="outset" w:color="000000" w:sz="6" w:space="0"/>
                </w:tblBorders>
                <w:tblCellMar>
                  <w:top w:w="15" w:type="dxa"/>
                  <w:left w:w="15" w:type="dxa"/>
                  <w:bottom w:w="15" w:type="dxa"/>
                  <w:right w:w="15" w:type="dxa"/>
                </w:tblCellMar>
              </w:tblPrEx>
              <w:trPr>
                <w:jc w:val="center"/>
              </w:trPr>
              <w:tc>
                <w:tcPr>
                  <w:tcW w:w="0" w:type="auto"/>
                  <w:tcBorders>
                    <w:top w:val="outset" w:color="000000" w:sz="6" w:space="0"/>
                    <w:left w:val="outset" w:color="000000" w:sz="6" w:space="0"/>
                    <w:bottom w:val="outset" w:color="000000" w:sz="6" w:space="0"/>
                    <w:right w:val="outset" w:color="000000" w:sz="6" w:space="0"/>
                  </w:tcBorders>
                  <w:shd w:val="clear" w:color="auto" w:fill="FFFFFF"/>
                  <w:vAlign w:val="center"/>
                </w:tcPr>
                <w:p>
                  <w:pPr>
                    <w:keepNext w:val="0"/>
                    <w:keepLines w:val="0"/>
                    <w:widowControl/>
                    <w:suppressLineNumbers w:val="0"/>
                    <w:shd w:val="clear" w:fill="FFFFFF"/>
                    <w:jc w:val="left"/>
                  </w:pPr>
                  <w:r>
                    <w:rPr>
                      <w:rFonts w:ascii="宋体" w:hAnsi="宋体" w:eastAsia="宋体" w:cs="宋体"/>
                      <w:color w:val="000000"/>
                      <w:kern w:val="0"/>
                      <w:sz w:val="20"/>
                      <w:szCs w:val="20"/>
                      <w:lang w:val="en-US" w:eastAsia="zh-CN" w:bidi="ar"/>
                    </w:rPr>
                    <w:t>    </w:t>
                  </w:r>
                  <w:r>
                    <w:rPr>
                      <w:rFonts w:hint="eastAsia" w:ascii="宋体" w:hAnsi="宋体" w:eastAsia="宋体" w:cs="宋体"/>
                      <w:color w:val="000000"/>
                      <w:kern w:val="0"/>
                      <w:sz w:val="20"/>
                      <w:szCs w:val="20"/>
                      <w:lang w:val="en-US" w:eastAsia="zh-CN" w:bidi="ar"/>
                    </w:rPr>
                    <w:t>建立宽带发展监测体系和评价指标体系，建设覆盖全国的宽带发展测评系统，实现对网络覆盖、接入带宽、用户规模、主要网站接入速率等信息的动态监测，建立宽带发展状况报告和宽带地图发布机制。</w:t>
                  </w:r>
                </w:p>
              </w:tc>
            </w:tr>
          </w:tbl>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（五）增强宽带网络安全保障能力。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技术支撑能力。加强宽带网络信息安全与应急通信关键技术研究，提高基础软硬件产品、专用安全产品、应急通信装备的可控水平，支持技术产品研发，完善相关产业链，提高宽带网络信息安全与应急通信技术支撑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安全防护体系。加快形成与宽带网络发展相适应的安全保障能力，构建下一代网络信息安全防护体系，提高对网络和信息安全事件的监测、发现、预警、研判和应急处置能力，完善网络和重要信息系统的安全风险评估评测机制和手段，提升网络基础设施攻击防范、应急响应和灾难备份恢复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应急通信系统。提高宽带网络基础设施的可靠性和抗毁性，逐步实现宽带网络的应急优先服务，提升宽带网络的应急通信保障能力。加强基于宽带技术的应急通信装备配备，加快应急通信系统的宽带化改造。</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安全管理机制。引导和规范新技术、新应用安全发展，构建安全评测评估体系，提高主动安全管理能力。加强信息保护体系建设，制定和完善个人隐私信息保护、打击网络犯罪等方面法律法规，推动行业自律和公众监督，加强用户安全宣传教育，构建全方位的社会化治理体系，着力打造安全、健康、诚信的网络环境。</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四、政策措施</w:t>
            </w:r>
            <w:r>
              <w:rPr>
                <w:rStyle w:val="5"/>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（一）加强组织领导。</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建立“宽带中国”战略实施部际协调机制，加强统筹和配合，协调解决重大问题，务实推进战略的贯彻实施。各部门要充分整合、有效利用现有资源和政策，抓紧制定出台配套政策，确保各项任务措施落到实处。地方各级人民政府要将宽带发展纳入地区经济社会和城镇化发展规划，加强组织领导，结合实际适度超前部署，加大资金投入和政策支持力度，避免重复建设，推进本地区宽带快速健康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（二）完善制度环境。</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完善法律法规。加快推动出台相关法律法规，明确宽带网络作为国家公共基础设施的法律地位，强化宽带网络设施保护。依法保护个人信息，营造安全可信的网络环境，促进宽带应用发展。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健全监管体系。全面推进三网融合，加快电信和广电业务双向进入，建立和完善适应三网融合需要的网络信息安全和文化安全监管机制。健全宽带网络监管制度，加强监管能力建设，推进监管队伍向地市延伸。</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推动开放竞争。逐步开放宽带接入网业务，鼓励民间资本参与宽带网络设施建设和业务运营，推动形成多种主体相互竞争、优势互补、共同发展的市场格局。规范宽带市场竞争行为，保障住宅小区及机场、高速公路、地铁等公共服务区域的公平进入。加强国家骨干网网间通信质量监管，建立网间互联带宽扩容长效机制，完善骨干网网间结算办法，保障网间互联高效畅通和骨干网公平竞争。通过产业联盟、行业协会等各种渠道，引导宽带网络设备制造和信息服务企业加强行业自律，建立竞争机制，共同维护竞争秩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深化应用创新。构建和完善宏观调控、社会管理和公共服务等基础信息资源体系，加快建立公益性信息资源开发应用长效机制，推进农业、科技、教育、文化、卫生、人口、就业和社会保障、国土资源等领域信息资源的公益性利用，建立跨地区、跨部门、跨层级的开放共享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（三）规范建设秩序。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严格落实宽带网络建设规划和规范。按照城乡规划法、土地管理法和城市通信工程规划规范等法律法规和规范规定，将宽带网络建设纳入各地城乡规划、土地利用总体规划。切实执行住宅小区和住宅建筑宽带网络设施的工程设计、施工及验收规范。做好宽带网络与高速公路、铁路、机场等交通设施规划和建设的衔接。</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保障宽带网络设施建设与通行。政府机关、企事业单位和公共机构等所属公共设施，市政设施、公路、铁路、机场、地铁等公共设施应向宽带网络设施建设开放，并提供通行便利。对因征地拆迁、城乡建设等造成的光缆、管道、基站、机房等宽带网络设施迁移和毁损，严格按照有关标准予以补偿。</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深化网络设施共建共享。在城市地下管线规划、控制性详细规划中，统筹安排通信工程综合管道网和相关设施，加强宽带网络设施与城市其他通信管线、居住区、公共建筑等管线的协调。深化光缆、管道、基站等电信基础设施的共建共享，创新合作模式，探索应用新技术，促进资源节约。</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（四）加大财税扶持。</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大财政资金支持。完善电信普遍服务补偿机制，形成支持农村和中西部地区宽带发展的长效机制。充分利用中央各类专项资金，引导地方相关资金投向宽带网络研发及产业化，以及农村和老少边穷地区的宽带网络发展。对西部地区符合条件的国家级开发区宽带建设项目贷款予以贴息支持。</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强税收优惠扶持。将西部地区宽带网络建设和运营纳入《西部地区鼓励类产业目录》，扶持西部地区宽带发展。结合电信行业特点，在营业税改增值税改革中，制定增值税相关政策与征管制度，完善电信业增值税抵扣机制，支持宽带网络建设。</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完善投融资政策。将宽带业务纳入《中西部地区外商投资优势产业目录》。推进专利等知识产权质押融资工作，加大对宽带应用服务企业的融资支持力度，积极支持符合条件的宽带应用服务企业在海内外资本市场直接融资。完善基础电信企业经营业绩考核机制，进一步优化基础电信企业经济增加值考核指标，引导宽带网络投资更多地投向西部和农村地区。</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（五）优化频谱规划。</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明确国家无线频谱路线图。尽快研究确定国家宽带无线发展各阶段的频谱需求，梳理无线频谱分布和利用状况。加快研究频谱规划方案，制定频谱中长期规划，明确无线频谱综合利用的时间表和路线图。</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促进频谱资源高效利用。支持动态频谱分配等高效利用频谱资源新技术的开发运用，支持消除干扰技术和设备的研发和利用，促进不同无线业务类型频率的共用共享，提高频率资源整体利用率。</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强公共频段上无线设备的监管。统筹无线局域网等无线通信网络的部署，鼓励无线设备共建共享，避免频率干扰，提高频谱资源使用效益。加强无线电发射设备研制、生产、进口、销售、使用等环节的监管，维护空中电波秩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（六）加强人才培养。</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优先保障人才发展投入。争取国家重大人才工程加大对宽带人才队伍建设的支持力度，加强宽带领域专业技术人才继续教育。依托重大科研、工程、产业攻关等项目开展人才培养工作，重视发挥企业作用，在实践中聚集和培养人才。</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大高层次人才引进和培养。加强宽带重点领域创新型人才引进，将所需人才纳入国家海外高层次人才引进计划，大力吸引海外高层次人才在华创新创业。鼓励采用合作办学、定向培养、继续教育等多种形式，创新宽带相关专业人才培养模式，建立科研机构、高校创新人才向企业流动的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（七）深化国际合作。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强网络基础资源国际合作。探索建立适应互联网域名、网址和网际协议地址（IP地址）资源全球化发展要求的地区和国家间的协调与合作机制。加强无线频谱、卫星轨道等资源分配使用的国际协作。借鉴国外先进经验，推动开展资源技术联合研究，提高资源利用效率。加强互联网骨干网的国际互联合作，进一步提升我国互联网骨干网企业的国际地位。</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深化网络空间国际合作。加强国际交流，推动双边、多边协调和对话，建立多层次的沟通交流平台，提升参与网络空间国际治理和规则制定的话语权。加强网络空间规则、资源、安全等国际合作，积极参与国际社会互联网公共政策与规则的制定，推动国际互联网健康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大知识产权国际合作。完善知识产权保护制度，强化数字内容和互联网应用的知识产权保护，加强打击互联网领域侵权盗版行为的国际合作。加强宽带相关技术和产品的专利布局、专利预警、海外维权和争端解决，提升企业依法应对知识产权纠纷的能力。</w:t>
            </w:r>
          </w:p>
        </w:tc>
      </w:tr>
    </w:tbl>
    <w:p>
      <w:pPr>
        <w:rPr>
          <w:vanish/>
          <w:sz w:val="24"/>
          <w:szCs w:val="24"/>
        </w:rPr>
      </w:pP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trPr>
        <w:tc>
          <w:tcPr>
            <w:tcW w:w="0" w:type="auto"/>
            <w:shd w:val="clear" w:color="auto" w:fill="FFFFFF"/>
            <w:vAlign w:val="center"/>
          </w:tcPr>
          <w:p>
            <w:pPr>
              <w:rPr>
                <w:rFonts w:hint="eastAsia" w:ascii="微软雅黑" w:hAnsi="微软雅黑" w:eastAsia="微软雅黑" w:cs="微软雅黑"/>
                <w:caps w:val="0"/>
                <w:spacing w:val="0"/>
                <w:sz w:val="24"/>
                <w:szCs w:val="24"/>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F26435"/>
    <w:rsid w:val="6BF264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63</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2022-04-15T05:06:00Z</dcterms:created>
  <dc:creator>清风</dc:creator>
  <cp:lastModifiedBy>清风</cp:lastModifiedBy>
  <dcterms:modified xsi:type="dcterms:W3CDTF">2022-04-15T06:11:49Z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6C867EDC2BA64021BB8788225E8F1220</vt:lpwstr>
  </property>
</Properties>
</file>