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690" w:right="690"/>
        <w:jc w:val="center"/>
        <w:rPr>
          <w:b w:val="0"/>
          <w:bCs w:val="0"/>
          <w:color w:val="BD1A2D"/>
          <w:sz w:val="48"/>
          <w:szCs w:val="48"/>
        </w:rPr>
      </w:pPr>
      <w:r>
        <w:rPr>
          <w:b w:val="0"/>
          <w:bCs w:val="0"/>
          <w:i w:val="0"/>
          <w:iCs w:val="0"/>
          <w:caps w:val="0"/>
          <w:color w:val="BD1A2D"/>
          <w:spacing w:val="0"/>
          <w:sz w:val="48"/>
          <w:szCs w:val="48"/>
          <w:bdr w:val="none" w:color="auto" w:sz="0" w:space="0"/>
        </w:rPr>
        <w:t>农业农村部关于积极稳妥开展农村闲置宅基地和闲置住</w:t>
      </w:r>
      <w:bookmarkStart w:id="0" w:name="_GoBack"/>
      <w:bookmarkEnd w:id="0"/>
      <w:r>
        <w:rPr>
          <w:b w:val="0"/>
          <w:bCs w:val="0"/>
          <w:i w:val="0"/>
          <w:iCs w:val="0"/>
          <w:caps w:val="0"/>
          <w:color w:val="BD1A2D"/>
          <w:spacing w:val="0"/>
          <w:sz w:val="48"/>
          <w:szCs w:val="48"/>
          <w:bdr w:val="none" w:color="auto" w:sz="0" w:space="0"/>
        </w:rPr>
        <w:t>宅盘活利用工作的通知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690" w:right="690"/>
        <w:jc w:val="center"/>
        <w:rPr>
          <w:rFonts w:hint="eastAsia" w:ascii="微软雅黑" w:hAnsi="微软雅黑" w:eastAsia="微软雅黑" w:cs="微软雅黑"/>
          <w:i w:val="0"/>
          <w:iCs w:val="0"/>
          <w:caps w:val="0"/>
          <w:color w:val="333333"/>
          <w:spacing w:val="0"/>
          <w:sz w:val="24"/>
          <w:szCs w:val="24"/>
          <w:bdr w:val="none" w:color="auto" w:sz="0" w:space="0"/>
        </w:rPr>
      </w:pPr>
      <w:r>
        <w:rPr>
          <w:rFonts w:ascii="微软雅黑" w:hAnsi="微软雅黑" w:eastAsia="微软雅黑" w:cs="微软雅黑"/>
          <w:i w:val="0"/>
          <w:iCs w:val="0"/>
          <w:caps w:val="0"/>
          <w:color w:val="333333"/>
          <w:spacing w:val="0"/>
          <w:sz w:val="24"/>
          <w:szCs w:val="24"/>
          <w:shd w:val="clear" w:fill="FFFFFF"/>
        </w:rPr>
        <w:t>农经发〔2019〕4号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rPr>
        <w:t>各省、自治区、直辖市、计划单列市农业农村（农牧）厅（局、委），新疆生产建设兵团农业农村局：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rPr>
        <w:t>　　农村宅基地和住宅是农民的基本生活资料和重要财产，也是农村发展的重要资源。近年来，随着城镇化快速推进，农业转移人口数量不断增加，农村宅基地和住宅闲置浪费问题日益突出。积极稳妥开展农村闲置宅基地和闲置住宅盘活利用工作，对于增加农民收入、促进城乡融合发展和推动乡村振兴具有重要意义。为确保此项工作有序实施、落到实处、惠及农民，现就有关要求通知如下。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rPr>
        <w:t>　　一、总体要求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rPr>
        <w:t>　　积极稳妥开展农村闲置宅基地和闲置住宅盘活利用工作，要以习近平新时代中国特色社会主义思想为指导，全面贯彻党的十九大和十九届二中、三中全会精神，以提高农村土地资源利用效率、增加农民收入为目标，在依法维护农民宅基地合法权益和严格规范宅基地管理的基础上，探索盘活利用农村闲置宅基地和闲置住宅的有效途径和政策措施，为激发乡村发展活力、促进乡村振兴提供有力支撑。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rPr>
        <w:t>　　积极稳妥开展农村闲置宅基地和闲置住宅盘活利用工作，要突出服务乡村振兴。紧紧围绕实施乡村振兴战略，着眼乡村产业发展需求，推动美丽乡村建设。要守住盘活利用底线。严守土地公有制性质不改变、耕地红线不突破、农民利益不受损的底线，符合国家和地方关于宅基地管理、国土空间规划、用途管制、市场监管和传统村落保护等法律法规和政策。要坚持农民主体地位。充分尊重农民意愿，调动农民参与的积极性和主动性，切实保护农民合法权益，千方百计增加农民收入。要注重规划先行要求。与村庄规划相衔接，与乡村产业发展规划相匹配，遵守安全消防规定，符合环保卫生要求，注重绿色发展。要发挥基层首创精神。支持地方大胆创新、积极探索，不搞“一刀切”，不得强迫命令。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rPr>
        <w:t>　　二、重点工作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rPr>
        <w:t>　　（一）因地制宜选择盘活利用模式。各地要统筹考虑区位条件、资源禀赋、环境容量、产业基础和历史文化传承，选择适合本地实际的农村闲置宅基地和闲置住宅盘活利用模式。鼓励利用闲置住宅发展符合乡村特点的休闲农业、乡村旅游、餐饮民宿、文化体验、创意办公、电子商务等新产业新业态，以及农产品冷链、初加工、仓储等一二三产业融合发展项目。支持采取整理、复垦、复绿等方式，开展农村闲置宅基地整治，依法依规利用城乡建设用地增减挂钩、集体经营性建设用地入市等政策，为农民建房、乡村建设和产业发展等提供土地等要素保障。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rPr>
        <w:t>　　（二）支持培育盘活利用主体。在充分保障农民宅基地合法权益的前提下，支持农村集体经济组织及其成员采取自营、出租、入股、合作等多种方式盘活利用农村闲置宅基地和闲置住宅。鼓励有一定经济实力的农村集体经济组织对闲置宅基地和闲置住宅进行统一盘活利用。支持返乡人员依托自有和闲置住宅发展适合的乡村产业项目。引导有实力、有意愿、有责任的企业有序参与盘活利用工作。依法保护各类主体的合法权益，推动形成多方参与、合作共赢的良好局面。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rPr>
        <w:t>　　（三）鼓励创新盘活利用机制。支持各地统筹安排相关资金，用于农村闲置宅基地和闲置住宅盘活利用奖励、补助等。条件成熟时，研究发行地方政府专项债券支持农村闲置宅基地和闲置住宅盘活利用项目。推动金融信贷产品和服务创新，为农村闲置宅基地和闲置住宅盘活利用提供支持。结合乡村旅游大会、农业嘉年华、农博会等活动，向社会推介农村闲置宅基地和闲置住宅资源。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rPr>
        <w:t>　　（四）稳妥推进盘活利用示范。各地要结合实际，选择一批地方党委政府重视、农村集体经济组织健全、农村宅基地管理规范、乡村产业发展有基础、农民群众积极性高的地区，有序开展农村闲置宅基地和闲置住宅盘活利用试点示范。突出乡村产业特色，整合资源创建一批民宿（农家乐）集中村、乡村旅游目的地、家庭工场、手工作坊等盘活利用样板。总结一批可复制、可推广的经验模式，探索一套规范、高效的运行机制和管理制度，以点带面、逐步推开。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rPr>
        <w:t>　　（五）依法规范盘活利用行为。各地要进一步加强宅基地管理，对利用方式、经营产业、租赁期限、流转对象等进行规范，防止侵占耕地、大拆大建、违规开发，确保盘活利用的农村闲置宅基地和闲置住宅依法取得、权属清晰。要坚决守住法律和政策底线，不得违法违规买卖或变相买卖宅基地，严格禁止下乡利用农村宅基地建设别墅大院和私人会馆。要切实维护农民权益，不得以各种名义违背农民意愿强制流转宅基地和强迫农民“上楼”，不得违法收回农户合法取得的宅基地，不得以退出宅基地作为农民进城落户的条件。对利用闲置住宅发展民宿等项目，要按照</w:t>
      </w:r>
      <w:r>
        <w:rPr>
          <w:rFonts w:hint="eastAsia" w:ascii="微软雅黑" w:hAnsi="微软雅黑" w:eastAsia="微软雅黑" w:cs="微软雅黑"/>
          <w:i w:val="0"/>
          <w:iCs w:val="0"/>
          <w:caps w:val="0"/>
          <w:color w:val="333333"/>
          <w:spacing w:val="0"/>
          <w:sz w:val="24"/>
          <w:szCs w:val="24"/>
          <w:bdr w:val="none" w:color="auto" w:sz="0" w:space="0"/>
          <w:lang w:val="en-US"/>
        </w:rPr>
        <w:t>2018</w:t>
      </w:r>
      <w:r>
        <w:rPr>
          <w:rFonts w:hint="eastAsia" w:ascii="微软雅黑" w:hAnsi="微软雅黑" w:eastAsia="微软雅黑" w:cs="微软雅黑"/>
          <w:i w:val="0"/>
          <w:iCs w:val="0"/>
          <w:caps w:val="0"/>
          <w:color w:val="333333"/>
          <w:spacing w:val="0"/>
          <w:sz w:val="24"/>
          <w:szCs w:val="24"/>
          <w:bdr w:val="none" w:color="auto" w:sz="0" w:space="0"/>
        </w:rPr>
        <w:t>年中央一号文件要求，尽快研究和推动出台消防、特种行业经营等领域便利市场准入、加强事中事后监管的措施。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rPr>
        <w:t>　　三、保障措施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rPr>
        <w:t>　　（一）强化组织领导。各地要高度重视农村闲置宅基地和闲置住宅盘活利用工作，加强统筹领导，搞好指导服务，强化部门协调，形成工作合力。要根据本地实际制定具体实施方案、操作细则和配套政策，进一步明确目标任务、主要内容和重点措施，确保盘活利用工作取得实效。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rPr>
        <w:t>　　（二）强化政策扶持。各地要认真落实党中央、国务院关于乡村振兴、城乡融合发展、返乡下乡人员创业创新等文件要求，完善适合本地实际的农村闲置宅基地和闲置住宅盘活利用政策，出台扶持措施，简化市场准入，优化登记、备案等手续。要推动做好村庄规划编制、房地一体的宅基地使用权确权登记颁证、农村宅基地和农房调查、农村人居环境整治等基础工作，为盘活利用工作创造有利条件。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rPr>
        <w:t>　　（三）强化宣传引导。各地要依托报刊、电视、网络、微博、微信、新闻客户端等媒体，深入宣传和解读农村闲置宅基地和闲置住宅利用法律法规和政策。要组织开展农村闲置宅基地和闲置住宅盘活利用典型案例征集推介活动，宣传盘活利用工作中涌现出的典型，营造良好的社会舆论氛围。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rPr>
        <w:t>　　</w:t>
      </w:r>
      <w:r>
        <w:rPr>
          <w:rFonts w:hint="eastAsia" w:ascii="微软雅黑" w:hAnsi="微软雅黑" w:eastAsia="微软雅黑" w:cs="微软雅黑"/>
          <w:i w:val="0"/>
          <w:iCs w:val="0"/>
          <w:caps w:val="0"/>
          <w:color w:val="333333"/>
          <w:spacing w:val="0"/>
          <w:sz w:val="24"/>
          <w:szCs w:val="24"/>
          <w:bdr w:val="none" w:color="auto" w:sz="0" w:space="0"/>
          <w:lang w:val="en-US"/>
        </w:rPr>
        <w:t> </w:t>
      </w:r>
      <w:r>
        <w:rPr>
          <w:rFonts w:hint="eastAsia" w:ascii="微软雅黑" w:hAnsi="微软雅黑" w:eastAsia="微软雅黑" w:cs="微软雅黑"/>
          <w:i w:val="0"/>
          <w:iCs w:val="0"/>
          <w:caps w:val="0"/>
          <w:color w:val="333333"/>
          <w:spacing w:val="0"/>
          <w:sz w:val="24"/>
          <w:szCs w:val="24"/>
          <w:bdr w:val="none" w:color="auto" w:sz="0" w:space="0"/>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rPr>
        <w:t>　　</w:t>
      </w:r>
      <w:r>
        <w:rPr>
          <w:rFonts w:hint="eastAsia" w:ascii="微软雅黑" w:hAnsi="微软雅黑" w:eastAsia="微软雅黑" w:cs="微软雅黑"/>
          <w:i w:val="0"/>
          <w:iCs w:val="0"/>
          <w:caps w:val="0"/>
          <w:color w:val="333333"/>
          <w:spacing w:val="0"/>
          <w:sz w:val="24"/>
          <w:szCs w:val="24"/>
          <w:bdr w:val="none" w:color="auto" w:sz="0" w:space="0"/>
          <w:lang w:val="en-US"/>
        </w:rPr>
        <w:t> </w:t>
      </w:r>
      <w:r>
        <w:rPr>
          <w:rFonts w:hint="eastAsia" w:ascii="微软雅黑" w:hAnsi="微软雅黑" w:eastAsia="微软雅黑" w:cs="微软雅黑"/>
          <w:i w:val="0"/>
          <w:iCs w:val="0"/>
          <w:caps w:val="0"/>
          <w:color w:val="333333"/>
          <w:spacing w:val="0"/>
          <w:sz w:val="24"/>
          <w:szCs w:val="24"/>
          <w:bdr w:val="none" w:color="auto" w:sz="0" w:space="0"/>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rPr>
        <w:t>　                                                                                     农业农村部</w:t>
      </w:r>
      <w:r>
        <w:rPr>
          <w:rFonts w:hint="eastAsia" w:ascii="微软雅黑" w:hAnsi="微软雅黑" w:eastAsia="微软雅黑" w:cs="微软雅黑"/>
          <w:i w:val="0"/>
          <w:iCs w:val="0"/>
          <w:caps w:val="0"/>
          <w:color w:val="333333"/>
          <w:spacing w:val="0"/>
          <w:sz w:val="24"/>
          <w:szCs w:val="24"/>
          <w:bdr w:val="none" w:color="auto" w:sz="0" w:space="0"/>
          <w:lang w:val="en-US"/>
        </w:rPr>
        <w:t>    </w:t>
      </w:r>
      <w:r>
        <w:rPr>
          <w:rFonts w:hint="eastAsia" w:ascii="微软雅黑" w:hAnsi="微软雅黑" w:eastAsia="微软雅黑" w:cs="微软雅黑"/>
          <w:i w:val="0"/>
          <w:iCs w:val="0"/>
          <w:caps w:val="0"/>
          <w:color w:val="333333"/>
          <w:spacing w:val="0"/>
          <w:sz w:val="24"/>
          <w:szCs w:val="24"/>
          <w:bdr w:val="none" w:color="auto" w:sz="0" w:space="0"/>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rPr>
        <w:t>　                                                                                   </w:t>
      </w:r>
      <w:r>
        <w:rPr>
          <w:rFonts w:hint="eastAsia" w:ascii="微软雅黑" w:hAnsi="微软雅黑" w:eastAsia="微软雅黑" w:cs="微软雅黑"/>
          <w:i w:val="0"/>
          <w:iCs w:val="0"/>
          <w:caps w:val="0"/>
          <w:color w:val="333333"/>
          <w:spacing w:val="0"/>
          <w:sz w:val="24"/>
          <w:szCs w:val="24"/>
          <w:bdr w:val="none" w:color="auto" w:sz="0" w:space="0"/>
          <w:lang w:val="en-US"/>
        </w:rPr>
        <w:t>2019</w:t>
      </w:r>
      <w:r>
        <w:rPr>
          <w:rFonts w:hint="eastAsia" w:ascii="微软雅黑" w:hAnsi="微软雅黑" w:eastAsia="微软雅黑" w:cs="微软雅黑"/>
          <w:i w:val="0"/>
          <w:iCs w:val="0"/>
          <w:caps w:val="0"/>
          <w:color w:val="333333"/>
          <w:spacing w:val="0"/>
          <w:sz w:val="24"/>
          <w:szCs w:val="24"/>
          <w:bdr w:val="none" w:color="auto" w:sz="0" w:space="0"/>
        </w:rPr>
        <w:t>年</w:t>
      </w:r>
      <w:r>
        <w:rPr>
          <w:rFonts w:hint="eastAsia" w:ascii="微软雅黑" w:hAnsi="微软雅黑" w:eastAsia="微软雅黑" w:cs="微软雅黑"/>
          <w:i w:val="0"/>
          <w:iCs w:val="0"/>
          <w:caps w:val="0"/>
          <w:color w:val="333333"/>
          <w:spacing w:val="0"/>
          <w:sz w:val="24"/>
          <w:szCs w:val="24"/>
          <w:bdr w:val="none" w:color="auto" w:sz="0" w:space="0"/>
          <w:lang w:val="en-US"/>
        </w:rPr>
        <w:t>9</w:t>
      </w:r>
      <w:r>
        <w:rPr>
          <w:rFonts w:hint="eastAsia" w:ascii="微软雅黑" w:hAnsi="微软雅黑" w:eastAsia="微软雅黑" w:cs="微软雅黑"/>
          <w:i w:val="0"/>
          <w:iCs w:val="0"/>
          <w:caps w:val="0"/>
          <w:color w:val="333333"/>
          <w:spacing w:val="0"/>
          <w:sz w:val="24"/>
          <w:szCs w:val="24"/>
          <w:bdr w:val="none" w:color="auto" w:sz="0" w:space="0"/>
        </w:rPr>
        <w:t>月</w:t>
      </w:r>
      <w:r>
        <w:rPr>
          <w:rFonts w:hint="eastAsia" w:ascii="微软雅黑" w:hAnsi="微软雅黑" w:eastAsia="微软雅黑" w:cs="微软雅黑"/>
          <w:i w:val="0"/>
          <w:iCs w:val="0"/>
          <w:caps w:val="0"/>
          <w:color w:val="333333"/>
          <w:spacing w:val="0"/>
          <w:sz w:val="24"/>
          <w:szCs w:val="24"/>
          <w:bdr w:val="none" w:color="auto" w:sz="0" w:space="0"/>
          <w:lang w:val="en-US"/>
        </w:rPr>
        <w:t>30</w:t>
      </w:r>
      <w:r>
        <w:rPr>
          <w:rFonts w:hint="eastAsia" w:ascii="微软雅黑" w:hAnsi="微软雅黑" w:eastAsia="微软雅黑" w:cs="微软雅黑"/>
          <w:i w:val="0"/>
          <w:iCs w:val="0"/>
          <w:caps w:val="0"/>
          <w:color w:val="333333"/>
          <w:spacing w:val="0"/>
          <w:sz w:val="24"/>
          <w:szCs w:val="24"/>
          <w:bdr w:val="none" w:color="auto" w:sz="0" w:space="0"/>
        </w:rPr>
        <w:t>日 </w:t>
      </w:r>
    </w:p>
    <w:p/>
    <w:sectPr>
      <w:pgSz w:w="11906" w:h="16838"/>
      <w:pgMar w:top="1247" w:right="1134" w:bottom="1134" w:left="1247" w:header="851" w:footer="992" w:gutter="0"/>
      <w:paperSrc/>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A93220F"/>
    <w:rsid w:val="1A9322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2022-04-29T03:09:00Z</dcterms:created>
  <dc:creator>清风</dc:creator>
  <cp:lastModifiedBy>清风</cp:lastModifiedBy>
  <dcterms:modified xsi:type="dcterms:W3CDTF">2022-04-29T03:20:04Z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D1F1EA431CE24651AD041F3A0459A674</vt:lpwstr>
  </property>
</Properties>
</file>