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ascii="微软雅黑" w:hAnsi="微软雅黑" w:eastAsia="微软雅黑" w:cs="微软雅黑"/>
          <w:i w:val="0"/>
          <w:iCs w:val="0"/>
          <w:caps w:val="0"/>
          <w:color w:val="000000"/>
          <w:spacing w:val="0"/>
          <w:sz w:val="42"/>
          <w:szCs w:val="42"/>
        </w:rPr>
      </w:pPr>
      <w:r>
        <w:rPr>
          <w:rFonts w:hint="eastAsia" w:ascii="微软雅黑" w:hAnsi="微软雅黑" w:eastAsia="微软雅黑" w:cs="微软雅黑"/>
          <w:i w:val="0"/>
          <w:iCs w:val="0"/>
          <w:caps w:val="0"/>
          <w:color w:val="000000"/>
          <w:spacing w:val="0"/>
          <w:kern w:val="0"/>
          <w:sz w:val="42"/>
          <w:szCs w:val="42"/>
          <w:bdr w:val="none" w:color="auto" w:sz="0" w:space="0"/>
          <w:lang w:val="en-US" w:eastAsia="zh-CN" w:bidi="ar"/>
        </w:rPr>
        <w:t>关于印发《天津市无障碍环境建设“十三五”实施方案》的通知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津残联[2017]38号</w:t>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drawing>
          <wp:inline distT="0" distB="0" distL="114300" distR="114300">
            <wp:extent cx="11430000" cy="190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1430000" cy="19050"/>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各区残联、建委、国土房管局、教育局、公安分局、民政局、交通运输主管部门、工业和信息化主管部门、网信办、文化局、广电局、旅游局、老龄办：</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为做好“十三五”期间无障碍环境建设工作，根据国务院印发的《“十三五”加快残疾人小康进程规划纲要(2016—2020年)》、《天津市“十三五”加快残疾人小康进程规划纲要》和中国残联、住建部等13个部门联合下发的《无障碍环境建设“十三五”实施方案》，制定了《天津市无障碍环境建设“十三五”实施方案》，现印发给你们，请认真贯彻执行。</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市残疾人联合会   市城乡建设委员会   市国土资源和房屋管理局</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市教育委员会   市公安局   市民政局</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市交通运输委员会   市工业和信息化委员会</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市文化广播影视局   市互联网信息办公室</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北京铁路局天津铁路办事处   市旅游局</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中国民用航空天津安全监督管理局   市老龄工作委员会办公室</w:t>
      </w:r>
    </w:p>
    <w:p>
      <w:pPr>
        <w:pStyle w:val="2"/>
        <w:keepNext w:val="0"/>
        <w:keepLines w:val="0"/>
        <w:widowControl/>
        <w:suppressLineNumbers w:val="0"/>
        <w:spacing w:before="0" w:beforeAutospacing="0" w:after="0" w:afterAutospacing="0" w:line="480" w:lineRule="atLeast"/>
        <w:ind w:left="0" w:right="0" w:firstLine="480"/>
        <w:jc w:val="right"/>
        <w:rPr>
          <w:rFonts w:hint="eastAsia" w:ascii="微软雅黑" w:hAnsi="微软雅黑" w:eastAsia="微软雅黑" w:cs="微软雅黑"/>
          <w:i w:val="0"/>
          <w:iCs w:val="0"/>
          <w:caps w:val="0"/>
          <w:color w:val="000000"/>
          <w:spacing w:val="0"/>
          <w:sz w:val="24"/>
          <w:szCs w:val="24"/>
          <w:bdr w:val="none" w:color="auto" w:sz="0" w:space="0"/>
        </w:rPr>
      </w:pPr>
      <w:r>
        <w:rPr>
          <w:rFonts w:hint="eastAsia" w:ascii="微软雅黑" w:hAnsi="微软雅黑" w:eastAsia="微软雅黑" w:cs="微软雅黑"/>
          <w:i w:val="0"/>
          <w:iCs w:val="0"/>
          <w:caps w:val="0"/>
          <w:color w:val="000000"/>
          <w:spacing w:val="0"/>
          <w:sz w:val="24"/>
          <w:szCs w:val="24"/>
          <w:bdr w:val="none" w:color="auto" w:sz="0" w:space="0"/>
        </w:rPr>
        <w:t>2017年2月6日</w:t>
      </w:r>
    </w:p>
    <w:p>
      <w:pPr>
        <w:pStyle w:val="2"/>
        <w:keepNext w:val="0"/>
        <w:keepLines w:val="0"/>
        <w:widowControl/>
        <w:suppressLineNumbers w:val="0"/>
        <w:spacing w:before="0" w:beforeAutospacing="0" w:after="0" w:afterAutospacing="0" w:line="480" w:lineRule="atLeast"/>
        <w:ind w:left="0" w:right="0" w:firstLine="480"/>
        <w:jc w:val="right"/>
        <w:rPr>
          <w:rFonts w:hint="eastAsia" w:ascii="微软雅黑" w:hAnsi="微软雅黑" w:eastAsia="微软雅黑" w:cs="微软雅黑"/>
          <w:i w:val="0"/>
          <w:iCs w:val="0"/>
          <w:caps w:val="0"/>
          <w:color w:val="000000"/>
          <w:spacing w:val="0"/>
          <w:sz w:val="24"/>
          <w:szCs w:val="24"/>
          <w:bdr w:val="none" w:color="auto" w:sz="0" w:space="0"/>
        </w:rPr>
      </w:pPr>
    </w:p>
    <w:p>
      <w:pPr>
        <w:pStyle w:val="2"/>
        <w:keepNext w:val="0"/>
        <w:keepLines w:val="0"/>
        <w:widowControl/>
        <w:suppressLineNumbers w:val="0"/>
        <w:spacing w:before="0" w:beforeAutospacing="0" w:after="0" w:afterAutospacing="0" w:line="480" w:lineRule="atLeast"/>
        <w:ind w:left="0" w:right="0" w:firstLine="480"/>
        <w:jc w:val="right"/>
        <w:rPr>
          <w:rFonts w:hint="eastAsia" w:ascii="微软雅黑" w:hAnsi="微软雅黑" w:eastAsia="微软雅黑" w:cs="微软雅黑"/>
          <w:i w:val="0"/>
          <w:iCs w:val="0"/>
          <w:caps w:val="0"/>
          <w:color w:val="000000"/>
          <w:spacing w:val="0"/>
          <w:sz w:val="24"/>
          <w:szCs w:val="24"/>
          <w:bdr w:val="none" w:color="auto" w:sz="0" w:space="0"/>
        </w:rPr>
      </w:pPr>
    </w:p>
    <w:p>
      <w:pPr>
        <w:pStyle w:val="2"/>
        <w:keepNext w:val="0"/>
        <w:keepLines w:val="0"/>
        <w:widowControl/>
        <w:suppressLineNumbers w:val="0"/>
        <w:spacing w:before="0" w:beforeAutospacing="0" w:after="0" w:afterAutospacing="0" w:line="480" w:lineRule="atLeast"/>
        <w:ind w:left="0" w:right="0" w:firstLine="480"/>
        <w:jc w:val="right"/>
        <w:rPr>
          <w:rFonts w:hint="eastAsia" w:ascii="微软雅黑" w:hAnsi="微软雅黑" w:eastAsia="微软雅黑" w:cs="微软雅黑"/>
          <w:i w:val="0"/>
          <w:iCs w:val="0"/>
          <w:caps w:val="0"/>
          <w:color w:val="000000"/>
          <w:spacing w:val="0"/>
          <w:sz w:val="24"/>
          <w:szCs w:val="24"/>
          <w:bdr w:val="none" w:color="auto" w:sz="0" w:space="0"/>
        </w:rPr>
      </w:pPr>
      <w:bookmarkStart w:id="0" w:name="_GoBack"/>
      <w:bookmarkEnd w:id="0"/>
    </w:p>
    <w:p>
      <w:pPr>
        <w:pStyle w:val="2"/>
        <w:keepNext w:val="0"/>
        <w:keepLines w:val="0"/>
        <w:widowControl/>
        <w:suppressLineNumbers w:val="0"/>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rPr>
        <w:t>　　</w:t>
      </w:r>
      <w:r>
        <w:rPr>
          <w:rStyle w:val="5"/>
          <w:rFonts w:hint="eastAsia" w:ascii="微软雅黑" w:hAnsi="微软雅黑" w:eastAsia="微软雅黑" w:cs="微软雅黑"/>
          <w:i w:val="0"/>
          <w:iCs w:val="0"/>
          <w:caps w:val="0"/>
          <w:color w:val="000000"/>
          <w:spacing w:val="0"/>
          <w:sz w:val="24"/>
          <w:szCs w:val="24"/>
          <w:bdr w:val="none" w:color="auto" w:sz="0" w:space="0"/>
        </w:rPr>
        <w:t>天津市无障碍环境建设“十三五”实施方案</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一、背景</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十二五”期间，我市贯彻落实国务院《无障碍环境建设条例》及相关政策、标准，深入推进无障碍环境建设。全市普遍开展了创建全国无障碍环境区县工作，16个区县全部达标，和平、河东两区荣获全国无障碍环境示范区称号。积极推进残疾人家庭和社区无障碍改造工作，残疾人、老年人和全体社会成员参与社会生活的环境更加便利，城乡无障碍环境建设水平进一步提升。</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目前，我市无障碍环境建设仍存在一些亟待解决的困难和问题，主要有：全社会无障碍意识有待进一步提高；个别新建无障碍设施不规范、不系统，无障碍建设相关技术标准尚未得到有效执行；既有公共设施无障碍改造还不彻底；已建无障碍设施管理亟待加强；信息交流无障碍建设相对滞后。特别是2019年我市将承办第十届全国残疾人运动会和第七届特殊奥林匹克运动会，在环境、交通、公共基础设施及服务、信息无障碍、社会无障碍理念和无障碍场馆建设等方面，还有很多需要改善的地方。</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为进一步推进我市无障碍环境建设，依据国务院印发的《“十三五”加快残疾人小康进程规划纲要(2016—2020年)》和中国残联、住建部等13个部门联合下发的《无障碍环境建设“十三五”实施方案》，制定本方案。</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二、任务目标</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以解决残疾人、老年人无障碍日常出行、获取信息为重点，进一步全面提升城乡无障碍环境建设水平。落实国家和我市无障碍法规、政府规章和新型城镇化规划，推进无障碍设施规范化、系统化建设，进一步加快推进政府机关、学校、社区、旅游景区、社会福利、公共交通、公共服务等公共场所和设施的无障碍改造，深入开展信息交流无障碍建设，在新型城镇化进程中加强农村地区无障碍环境建设。</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完善无障碍环境建设相关政策标准，促进基本公共服务均等化。修订我市现行无障碍行政规章和地方技术标准。贯彻落实国家在交通、教育、金融、旅游、食品药品、信息网络、紧急避险和应急疏散的等行业和领域一系列无障碍环境建设的政策标准，健全无障碍基本公共服务体系，为残疾人、老年人参与社会生活、获得公共服务创造更好条件。</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——解决影响残疾人、老年人日常起居、基本生活的家庭环境障碍，继续加大残疾人家庭和社区无障碍改造工作力度，为残疾人实现全面小康奠定物质基础。</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三、主要措施</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w:t>
      </w:r>
      <w:r>
        <w:rPr>
          <w:rStyle w:val="5"/>
          <w:rFonts w:hint="eastAsia" w:ascii="微软雅黑" w:hAnsi="微软雅黑" w:eastAsia="微软雅黑" w:cs="微软雅黑"/>
          <w:i w:val="0"/>
          <w:iCs w:val="0"/>
          <w:caps w:val="0"/>
          <w:color w:val="000000"/>
          <w:spacing w:val="0"/>
          <w:sz w:val="24"/>
          <w:szCs w:val="24"/>
          <w:bdr w:val="none" w:color="auto" w:sz="0" w:space="0"/>
        </w:rPr>
        <w:t>(一)依法开展无障碍环境建设。</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依法加强全市无障碍环境建设与管理。市建委、市工业和信息化委、市残联等部门切实采取措施，加强《无障碍环境建设条例》和《天津市无障碍环境建设管理办法》的宣传和实施情况监督检查。</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w:t>
      </w:r>
      <w:r>
        <w:rPr>
          <w:rStyle w:val="5"/>
          <w:rFonts w:hint="eastAsia" w:ascii="微软雅黑" w:hAnsi="微软雅黑" w:eastAsia="微软雅黑" w:cs="微软雅黑"/>
          <w:i w:val="0"/>
          <w:iCs w:val="0"/>
          <w:caps w:val="0"/>
          <w:color w:val="000000"/>
          <w:spacing w:val="0"/>
          <w:sz w:val="24"/>
          <w:szCs w:val="24"/>
          <w:bdr w:val="none" w:color="auto" w:sz="0" w:space="0"/>
        </w:rPr>
        <w:t>(二)健全无障碍建设工作机制。</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各区政府要根据相关部门、机构和人员的变化情况，及时调整政府统一领导、相关部门参加的无障碍建设组织协调机构，进一步完善相关工作机制，切实发挥协调、推动作用。要将无障碍建设纳入本区经济社会发展规划，制定“十三五”无障碍建设改造专项规划。切实采取措施，加强领导，创新方式，严格落实。</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政府相关职能部门要积极引导社会力量参与无障碍建设，进一步加强对无障碍建设的社会监督。建立健全由人大代表、政协委员以及残疾人、老年人、媒体代表等参与的无障碍监督员队伍，并为无障碍监督员队伍开展工作创造条件。要高度重视来自社会各方面有关无障碍建设的意见建议，依法依规、高效处理社会各方面反映的问题。</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w:t>
      </w:r>
      <w:r>
        <w:rPr>
          <w:rStyle w:val="5"/>
          <w:rFonts w:hint="eastAsia" w:ascii="微软雅黑" w:hAnsi="微软雅黑" w:eastAsia="微软雅黑" w:cs="微软雅黑"/>
          <w:i w:val="0"/>
          <w:iCs w:val="0"/>
          <w:caps w:val="0"/>
          <w:color w:val="000000"/>
          <w:spacing w:val="0"/>
          <w:sz w:val="24"/>
          <w:szCs w:val="24"/>
          <w:bdr w:val="none" w:color="auto" w:sz="0" w:space="0"/>
        </w:rPr>
        <w:t>(三)完善无障碍环境建设政府规章和行业标准。</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修订《天津市无障碍设施建设和管理办法》(市政府令第85号)和《天津市无障碍设计标准》(db29-196-2010)，为我市无障碍环境建设提供法制保障和技术支持。</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制定并落实视力残疾人、听力言语残疾人信息消费补贴政策。</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依据国家有关学校无障碍改造、政府和社会公共服务网站无障碍改造、金融无障碍、食品药品无障碍识别、残疾人紧急避险和应急疏散等方面政策，结合我市实际，研究制定贯彻落实国家政策的具体措施规定，使残疾人、老年人在更多方面获得参与社会生活的便利条件。</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w:t>
      </w:r>
      <w:r>
        <w:rPr>
          <w:rStyle w:val="5"/>
          <w:rFonts w:hint="eastAsia" w:ascii="微软雅黑" w:hAnsi="微软雅黑" w:eastAsia="微软雅黑" w:cs="微软雅黑"/>
          <w:i w:val="0"/>
          <w:iCs w:val="0"/>
          <w:caps w:val="0"/>
          <w:color w:val="000000"/>
          <w:spacing w:val="0"/>
          <w:sz w:val="24"/>
          <w:szCs w:val="24"/>
          <w:bdr w:val="none" w:color="auto" w:sz="0" w:space="0"/>
        </w:rPr>
        <w:t>(四)深入开展创建街(乡、镇)、社区(村)无障碍环境工作。</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巩固我市“十二五”期间创建全国无障碍环境区县工作成果，组织开展全市创建街(乡、镇)、社区(村)无障碍环境工作。市建委、市工业和信息化委、市民政局、市残联、市老龄办等有关部门完善创建工作协调领导机制，组织有关部门、专家完善实施创建工作标准，组织指导各区开展街(乡、镇)、社区(村)无障碍环境创建工作。</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将无障碍建设融入我市“十三五”加快推进新型城镇化、示范小城镇、特色小城镇和美丽乡村建设过程，推动城乡无障碍环境建设同步均衡发展。</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w:t>
      </w:r>
      <w:r>
        <w:rPr>
          <w:rStyle w:val="5"/>
          <w:rFonts w:hint="eastAsia" w:ascii="微软雅黑" w:hAnsi="微软雅黑" w:eastAsia="微软雅黑" w:cs="微软雅黑"/>
          <w:i w:val="0"/>
          <w:iCs w:val="0"/>
          <w:caps w:val="0"/>
          <w:color w:val="000000"/>
          <w:spacing w:val="0"/>
          <w:sz w:val="24"/>
          <w:szCs w:val="24"/>
          <w:bdr w:val="none" w:color="auto" w:sz="0" w:space="0"/>
        </w:rPr>
        <w:t>(五)加大无障碍建设与改造力度。</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按照无障碍设施工程建设相关标准和规范要求，对新建、改建、扩建项目的规划、设计、施工、验收严格监管，使无障碍设施建设更加系统化、规范化、标准化，安全质量得到全面保障。</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继续推进既有公共建筑、公共设施的无障碍改造，加大对政府机关、学校、社区、旅游景区、社会福利、公共交通等公共场所和设施的无障碍改造力度。完善无障碍设施相关使用信息或指示标志。</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航空、铁路、城市公共交通、医疗卫生、文化、体育、金融、邮政、商业、旅游等各相关行业切实将无障碍环境建设纳入本行业建设内容，与行业公共服务设施建设同步推进。</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机场、火车站、轻轨、公共汽车站、旅游景点、城市公园、酒店餐厅、文化娱乐休闲场所、体育场馆等与承办全国残疾人运动会有关的场所，要按照技术规范标准，制定并实施无障碍建设和改造计划方案。增设无障碍公交车和研究探索无障碍出租车。大、中型公共停车场依法设置无障碍停车位。通过实施以上措施，以达到主办城市的基本要求。</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加强无障碍设施日常维护与管理，加大对占用、破坏无障碍设施等违法行为的处罚力度，确保无障碍设施正常发挥作用。</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w:t>
      </w:r>
      <w:r>
        <w:rPr>
          <w:rStyle w:val="5"/>
          <w:rFonts w:hint="eastAsia" w:ascii="微软雅黑" w:hAnsi="微软雅黑" w:eastAsia="微软雅黑" w:cs="微软雅黑"/>
          <w:i w:val="0"/>
          <w:iCs w:val="0"/>
          <w:caps w:val="0"/>
          <w:color w:val="000000"/>
          <w:spacing w:val="0"/>
          <w:sz w:val="24"/>
          <w:szCs w:val="24"/>
          <w:bdr w:val="none" w:color="auto" w:sz="0" w:space="0"/>
        </w:rPr>
        <w:t>(六)发展信息交流无障碍。</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进一步将信息交流无障碍建设纳入我市智慧城市建设“十三五”规划。在全面实施“互联网+”行动，加快推进城市管理智能化、惠民服务便捷化的过程中，充分考虑残疾人的特殊需求，使残疾人享受到互联网与政府公共服务体系深度融合的一体化在线公共服务体系和智慧社保、智慧医疗、智慧教育等公共信息服务体系的建设成果。</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市、区政府新闻发布会逐步增加手语服务，市、区政府及其承担公共服务职能的各部门网站和主要社会公共服务机构网站无障碍服务能力达到基本水平。</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天津电视台和各区有线电视台更多的电视节目加配字幕或手语解说。推广在公共服务机构和公共场所为残疾人提供语音和文字提示、手语、盲文等信息交流服务。推进社区选举无障碍。实施聋人短信报警服务。</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w:t>
      </w:r>
      <w:r>
        <w:rPr>
          <w:rStyle w:val="5"/>
          <w:rFonts w:hint="eastAsia" w:ascii="微软雅黑" w:hAnsi="微软雅黑" w:eastAsia="微软雅黑" w:cs="微软雅黑"/>
          <w:i w:val="0"/>
          <w:iCs w:val="0"/>
          <w:caps w:val="0"/>
          <w:color w:val="000000"/>
          <w:spacing w:val="0"/>
          <w:sz w:val="24"/>
          <w:szCs w:val="24"/>
          <w:bdr w:val="none" w:color="auto" w:sz="0" w:space="0"/>
        </w:rPr>
        <w:t>(七)广泛开展残疾人、老年人家庭和社区无障碍改造。</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总结推广“十二五”残疾人家庭和社区无障碍改造经验，继续制定年度计划，对全市有需求且具备改造条件的残疾人家庭和社区实施无障碍改造，完善工作措施，丰富改造内容，提高改造质量，切实改善和消除残疾人赖以生存的家庭和社区环境中的生活障碍。逐步将改造工作向老年人家庭扩展，为残疾人、老年人同步走入全面小康奠定物质基础。</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w:t>
      </w:r>
      <w:r>
        <w:rPr>
          <w:rStyle w:val="5"/>
          <w:rFonts w:hint="eastAsia" w:ascii="微软雅黑" w:hAnsi="微软雅黑" w:eastAsia="微软雅黑" w:cs="微软雅黑"/>
          <w:i w:val="0"/>
          <w:iCs w:val="0"/>
          <w:caps w:val="0"/>
          <w:color w:val="000000"/>
          <w:spacing w:val="0"/>
          <w:sz w:val="24"/>
          <w:szCs w:val="24"/>
          <w:bdr w:val="none" w:color="auto" w:sz="0" w:space="0"/>
        </w:rPr>
        <w:t>(八)加强无障碍建设研究、宣传。</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支持高等院校、科研机构成立相关研究机构，开设无障碍相关课程，培养专门人才，开展有关无障碍环境建设方面的课题研究。发挥无障碍环境建设专家组作用，为“十三五”无障碍工作开展提供智力支撑。</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对无障碍环境规划、设计、施工、建设、管理、监督等人员开展无障碍法规、规章及技术标准方面的培训，增强执行规范、开展无障碍监督的自觉性和能力。</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对全国残疾人运动会和特殊奥林匹克运动会组委会工作人员和志愿者开展残疾人礼仪与残疾观、运动会工作岗位和场馆无障碍知识培训，为残疾人提供有效服务。</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创新宣传方式，多种形式、多种载体开展无障碍环境建设的宣传，发挥互联网作用，进一步向社会公众普及无障碍知识，提高无障碍意识，扩大无障碍效应，营造全社会关心、支持、参与无障碍建设的良好氛围。</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四、检查评估</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(一)各相关部门于2018年对本方案实施情况进行中期检查。2020年进行全面总结验收。适时组织无障碍环境建设专家组和残疾人组织及代表进行评估。</w:t>
      </w:r>
    </w:p>
    <w:p>
      <w:pPr>
        <w:pStyle w:val="2"/>
        <w:keepNext w:val="0"/>
        <w:keepLines w:val="0"/>
        <w:widowControl/>
        <w:suppressLineNumbers w:val="0"/>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4"/>
          <w:szCs w:val="24"/>
          <w:bdr w:val="none" w:color="auto" w:sz="0" w:space="0"/>
        </w:rPr>
        <w:t>　　(二)市建委、市工业和信息化委、市民政局、市残联、市老龄办根据全国统一部署，对创建无障碍环境街(乡镇)、社区(村)进行评比表彰。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8E02AA"/>
    <w:rsid w:val="728E0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2022-04-24T02:50:00Z</dcterms:created>
  <dc:creator>清风</dc:creator>
  <cp:lastModifiedBy>清风</cp:lastModifiedBy>
  <dcterms:modified xsi:type="dcterms:W3CDTF">2022-04-24T02:52:59Z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943DD19095D445209E3F0CD0BFC64BFF</vt:lpwstr>
  </property>
</Properties>
</file>