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0"/>
        <w:jc w:val="center"/>
        <w:rPr>
          <w:rFonts w:ascii="微软雅黑" w:hAnsi="微软雅黑" w:eastAsia="微软雅黑" w:cs="微软雅黑"/>
          <w:i w:val="0"/>
          <w:iCs w:val="0"/>
          <w:caps w:val="0"/>
          <w:color w:val="000000"/>
          <w:spacing w:val="0"/>
          <w:sz w:val="42"/>
          <w:szCs w:val="42"/>
        </w:rPr>
      </w:pPr>
      <w:r>
        <w:rPr>
          <w:rFonts w:hint="eastAsia" w:ascii="微软雅黑" w:hAnsi="微软雅黑" w:eastAsia="微软雅黑" w:cs="微软雅黑"/>
          <w:i w:val="0"/>
          <w:iCs w:val="0"/>
          <w:caps w:val="0"/>
          <w:color w:val="000000"/>
          <w:spacing w:val="0"/>
          <w:kern w:val="0"/>
          <w:sz w:val="42"/>
          <w:szCs w:val="42"/>
          <w:bdr w:val="none" w:color="auto" w:sz="0" w:space="0"/>
          <w:lang w:val="en-US" w:eastAsia="zh-CN" w:bidi="ar"/>
        </w:rPr>
        <w:t>关于印发《天津市无障碍环境建设“十三五”实施方案》的通知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i w:val="0"/>
          <w:iCs w:val="0"/>
          <w:caps w:val="0"/>
          <w:color w:val="000000"/>
          <w:spacing w:val="0"/>
          <w:kern w:val="0"/>
          <w:sz w:val="21"/>
          <w:szCs w:val="21"/>
          <w:bdr w:val="none" w:color="auto" w:sz="0" w:space="0"/>
          <w:lang w:val="en-US" w:eastAsia="zh-CN" w:bidi="ar"/>
        </w:rPr>
        <w:t>津残联[2017]38号</w:t>
      </w:r>
      <w:r>
        <w:rPr>
          <w:rFonts w:hint="eastAsia" w:ascii="微软雅黑" w:hAnsi="微软雅黑" w:eastAsia="微软雅黑" w:cs="微软雅黑"/>
          <w:i w:val="0"/>
          <w:iCs w:val="0"/>
          <w:caps w:val="0"/>
          <w:color w:val="000000"/>
          <w:spacing w:val="0"/>
          <w:kern w:val="0"/>
          <w:sz w:val="21"/>
          <w:szCs w:val="21"/>
          <w:bdr w:val="none" w:color="auto" w:sz="0" w:space="0"/>
          <w:lang w:val="en-US" w:eastAsia="zh-CN" w:bidi="ar"/>
        </w:rPr>
        <w:drawing>
          <wp:inline distT="0" distB="0" distL="114300" distR="114300">
            <wp:extent cx="11430000" cy="19050"/>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11430000" cy="19050"/>
                    </a:xfrm>
                    <a:prstGeom prst="rect">
                      <a:avLst/>
                    </a:prstGeom>
                    <a:noFill/>
                    <a:ln w="9525">
                      <a:noFill/>
                    </a:ln>
                  </pic:spPr>
                </pic:pic>
              </a:graphicData>
            </a:graphic>
          </wp:inline>
        </w:drawing>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各区残联、建委、国土房管局、教育局、公安分局、民政局、交通运输主管部门、工业和信息化主管部门、网信办、文化局、广电局、旅游局、老龄办：</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为做好“十三五”期间无障碍环境建设工作，根据国务院印发的《“十三五”加快残疾人小康进程规划纲要(2016—2020年)》、《天津市“十三五”加快残疾人小康进程规划纲要》和中国残联、住建部等13个部门联合下发的《无障碍环境建设“十三五”实施方案》，制定了《天津市无障碍环境建设“十三五”实施方案》，现印发给你们，请认真贯彻执行。</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市残疾人联合会   市城乡建设委员会   市国土资源和房屋管理局</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市教育委员会   市公安局   市民政局</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市交通运输委员会   市工业和信息化委员会</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市文化广播影视局   市互联网信息办公室</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北京铁路局天津铁路办事处   市旅游局</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中国民用航空天津安全监督管理局   市老龄工作委员会办公室</w:t>
      </w:r>
    </w:p>
    <w:p>
      <w:pPr>
        <w:pStyle w:val="2"/>
        <w:keepNext w:val="0"/>
        <w:keepLines w:val="0"/>
        <w:widowControl/>
        <w:suppressLineNumbers w:val="0"/>
        <w:spacing w:before="0" w:beforeAutospacing="0" w:after="0" w:afterAutospacing="0" w:line="480" w:lineRule="atLeast"/>
        <w:ind w:left="0" w:right="0" w:firstLine="480"/>
        <w:jc w:val="right"/>
        <w:rPr>
          <w:rFonts w:hint="eastAsia" w:ascii="微软雅黑" w:hAnsi="微软雅黑" w:eastAsia="微软雅黑" w:cs="微软雅黑"/>
          <w:i w:val="0"/>
          <w:iCs w:val="0"/>
          <w:caps w:val="0"/>
          <w:color w:val="000000"/>
          <w:spacing w:val="0"/>
          <w:sz w:val="24"/>
          <w:szCs w:val="24"/>
          <w:bdr w:val="none" w:color="auto" w:sz="0" w:space="0"/>
        </w:rPr>
      </w:pPr>
      <w:r>
        <w:rPr>
          <w:rFonts w:hint="eastAsia" w:ascii="微软雅黑" w:hAnsi="微软雅黑" w:eastAsia="微软雅黑" w:cs="微软雅黑"/>
          <w:i w:val="0"/>
          <w:iCs w:val="0"/>
          <w:caps w:val="0"/>
          <w:color w:val="000000"/>
          <w:spacing w:val="0"/>
          <w:sz w:val="24"/>
          <w:szCs w:val="24"/>
          <w:bdr w:val="none" w:color="auto" w:sz="0" w:space="0"/>
        </w:rPr>
        <w:t>2017年2月6日</w:t>
      </w:r>
    </w:p>
    <w:p>
      <w:pPr>
        <w:pStyle w:val="2"/>
        <w:keepNext w:val="0"/>
        <w:keepLines w:val="0"/>
        <w:widowControl/>
        <w:suppressLineNumbers w:val="0"/>
        <w:spacing w:before="0" w:beforeAutospacing="0" w:after="0" w:afterAutospacing="0" w:line="480" w:lineRule="atLeast"/>
        <w:ind w:left="0" w:right="0" w:firstLine="480"/>
        <w:jc w:val="right"/>
        <w:rPr>
          <w:rFonts w:hint="eastAsia" w:ascii="微软雅黑" w:hAnsi="微软雅黑" w:eastAsia="微软雅黑" w:cs="微软雅黑"/>
          <w:i w:val="0"/>
          <w:iCs w:val="0"/>
          <w:caps w:val="0"/>
          <w:color w:val="000000"/>
          <w:spacing w:val="0"/>
          <w:sz w:val="24"/>
          <w:szCs w:val="24"/>
          <w:bdr w:val="none" w:color="auto" w:sz="0" w:space="0"/>
        </w:rPr>
      </w:pPr>
    </w:p>
    <w:p>
      <w:pPr>
        <w:pStyle w:val="2"/>
        <w:keepNext w:val="0"/>
        <w:keepLines w:val="0"/>
        <w:widowControl/>
        <w:suppressLineNumbers w:val="0"/>
        <w:spacing w:before="0" w:beforeAutospacing="0" w:after="0" w:afterAutospacing="0" w:line="480" w:lineRule="atLeast"/>
        <w:ind w:left="0" w:right="0" w:firstLine="480"/>
        <w:jc w:val="right"/>
        <w:rPr>
          <w:rFonts w:hint="eastAsia" w:ascii="微软雅黑" w:hAnsi="微软雅黑" w:eastAsia="微软雅黑" w:cs="微软雅黑"/>
          <w:i w:val="0"/>
          <w:iCs w:val="0"/>
          <w:caps w:val="0"/>
          <w:color w:val="000000"/>
          <w:spacing w:val="0"/>
          <w:sz w:val="24"/>
          <w:szCs w:val="24"/>
          <w:bdr w:val="none" w:color="auto" w:sz="0" w:space="0"/>
        </w:rPr>
      </w:pPr>
    </w:p>
    <w:p>
      <w:pPr>
        <w:pStyle w:val="2"/>
        <w:keepNext w:val="0"/>
        <w:keepLines w:val="0"/>
        <w:widowControl/>
        <w:suppressLineNumbers w:val="0"/>
        <w:spacing w:before="0" w:beforeAutospacing="0" w:after="0" w:afterAutospacing="0" w:line="480" w:lineRule="atLeast"/>
        <w:ind w:left="0" w:right="0" w:firstLine="480"/>
        <w:jc w:val="right"/>
        <w:rPr>
          <w:rFonts w:hint="eastAsia" w:ascii="微软雅黑" w:hAnsi="微软雅黑" w:eastAsia="微软雅黑" w:cs="微软雅黑"/>
          <w:i w:val="0"/>
          <w:iCs w:val="0"/>
          <w:caps w:val="0"/>
          <w:color w:val="000000"/>
          <w:spacing w:val="0"/>
          <w:sz w:val="24"/>
          <w:szCs w:val="24"/>
          <w:bdr w:val="none" w:color="auto" w:sz="0" w:space="0"/>
        </w:rPr>
      </w:pPr>
      <w:bookmarkStart w:id="0" w:name="_GoBack"/>
      <w:bookmarkEnd w:id="0"/>
    </w:p>
    <w:p>
      <w:pPr>
        <w:pStyle w:val="2"/>
        <w:keepNext w:val="0"/>
        <w:keepLines w:val="0"/>
        <w:widowControl/>
        <w:suppressLineNumbers w:val="0"/>
        <w:spacing w:before="0" w:beforeAutospacing="0" w:after="0" w:afterAutospacing="0" w:line="480" w:lineRule="atLeast"/>
        <w:ind w:left="0" w:right="0"/>
        <w:jc w:val="center"/>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天津市无障碍环境建设“十三五”实施方案</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一、背景</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十二五”期间，我市贯彻落实国务院《无障碍环境建设条例》及相关政策、标准，深入推进无障碍环境建设。全市普遍开展了创建全国无障碍环境区县工作，16个区县全部达标，和平、河东两区荣获全国无障碍环境示范区称号。积极推进残疾人家庭和社区无障碍改造工作，残疾人、老年人和全体社会成员参与社会生活的环境更加便利，城乡无障碍环境建设水平进一步提升。</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目前，我市无障碍环境建设仍存在一些亟待解决的困难和问题，主要有：全社会无障碍意识有待进一步提高；个别新建无障碍设施不规范、不系统，无障碍建设相关技术标准尚未得到有效执行；既有公共设施无障碍改造还不彻底；已建无障碍设施管理亟待加强；信息交流无障碍建设相对滞后。特别是2019年我市将承办第十届全国残疾人运动会和第七届特殊奥林匹克运动会，在环境、交通、公共基础设施及服务、信息无障碍、社会无障碍理念和无障碍场馆建设等方面，还有很多需要改善的地方。</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为进一步推进我市无障碍环境建设，依据国务院印发的《“十三五”加快残疾人小康进程规划纲要(2016—2020年)》和中国残联、住建部等13个部门联合下发的《无障碍环境建设“十三五”实施方案》，制定本方案。</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二、任务目标</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以解决残疾人、老年人无障碍日常出行、获取信息为重点，进一步全面提升城乡无障碍环境建设水平。落实国家和我市无障碍法规、政府规章和新型城镇化规划，推进无障碍设施规范化、系统化建设，进一步加快推进政府机关、学校、社区、旅游景区、社会福利、公共交通、公共服务等公共场所和设施的无障碍改造，深入开展信息交流无障碍建设，在新型城镇化进程中加强农村地区无障碍环境建设。</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完善无障碍环境建设相关政策标准，促进基本公共服务均等化。修订我市现行无障碍行政规章和地方技术标准。贯彻落实国家在交通、教育、金融、旅游、食品药品、信息网络、紧急避险和应急疏散的等行业和领域一系列无障碍环境建设的政策标准，健全无障碍基本公共服务体系，为残疾人、老年人参与社会生活、获得公共服务创造更好条件。</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——解决影响残疾人、老年人日常起居、基本生活的家庭环境障碍，继续加大残疾人家庭和社区无障碍改造工作力度，为残疾人实现全面小康奠定物质基础。</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三、主要措施</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(一)依法开展无障碍环境建设。</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依法加强全市无障碍环境建设与管理。市建委、市工业和信息化委、市残联等部门切实采取措施，加强《无障碍环境建设条例》和《天津市无障碍环境建设管理办法》的宣传和实施情况监督检查。</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(二)健全无障碍建设工作机制。</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各区政府要根据相关部门、机构和人员的变化情况，及时调整政府统一领导、相关部门参加的无障碍建设组织协调机构，进一步完善相关工作机制，切实发挥协调、推动作用。要将无障碍建设纳入本区经济社会发展规划，制定“十三五”无障碍建设改造专项规划。切实采取措施，加强领导，创新方式，严格落实。</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政府相关职能部门要积极引导社会力量参与无障碍建设，进一步加强对无障碍建设的社会监督。建立健全由人大代表、政协委员以及残疾人、老年人、媒体代表等参与的无障碍监督员队伍，并为无障碍监督员队伍开展工作创造条件。要高度重视来自社会各方面有关无障碍建设的意见建议，依法依规、高效处理社会各方面反映的问题。</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(三)完善无障碍环境建设政府规章和行业标准。</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修订《天津市无障碍设施建设和管理办法》(市政府令第85号)和《天津市无障碍设计标准》(db29-196-2010)，为我市无障碍环境建设提供法制保障和技术支持。</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制定并落实视力残疾人、听力言语残疾人信息消费补贴政策。</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依据国家有关学校无障碍改造、政府和社会公共服务网站无障碍改造、金融无障碍、食品药品无障碍识别、残疾人紧急避险和应急疏散等方面政策，结合我市实际，研究制定贯彻落实国家政策的具体措施规定，使残疾人、老年人在更多方面获得参与社会生活的便利条件。</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(四)深入开展创建街(乡、镇)、社区(村)无障碍环境工作。</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巩固我市“十二五”期间创建全国无障碍环境区县工作成果，组织开展全市创建街(乡、镇)、社区(村)无障碍环境工作。市建委、市工业和信息化委、市民政局、市残联、市老龄办等有关部门完善创建工作协调领导机制，组织有关部门、专家完善实施创建工作标准，组织指导各区开展街(乡、镇)、社区(村)无障碍环境创建工作。</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将无障碍建设融入我市“十三五”加快推进新型城镇化、示范小城镇、特色小城镇和美丽乡村建设过程，推动城乡无障碍环境建设同步均衡发展。</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(五)加大无障碍建设与改造力度。</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按照无障碍设施工程建设相关标准和规范要求，对新建、改建、扩建项目的规划、设计、施工、验收严格监管，使无障碍设施建设更加系统化、规范化、标准化，安全质量得到全面保障。</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继续推进既有公共建筑、公共设施的无障碍改造，加大对政府机关、学校、社区、旅游景区、社会福利、公共交通等公共场所和设施的无障碍改造力度。完善无障碍设施相关使用信息或指示标志。</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航空、铁路、城市公共交通、医疗卫生、文化、体育、金融、邮政、商业、旅游等各相关行业切实将无障碍环境建设纳入本行业建设内容，与行业公共服务设施建设同步推进。</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机场、火车站、轻轨、公共汽车站、旅游景点、城市公园、酒店餐厅、文化娱乐休闲场所、体育场馆等与承办全国残疾人运动会有关的场所，要按照技术规范标准，制定并实施无障碍建设和改造计划方案。增设无障碍公交车和研究探索无障碍出租车。大、中型公共停车场依法设置无障碍停车位。通过实施以上措施，以达到主办城市的基本要求。</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加强无障碍设施日常维护与管理，加大对占用、破坏无障碍设施等违法行为的处罚力度，确保无障碍设施正常发挥作用。</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(六)发展信息交流无障碍。</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进一步将信息交流无障碍建设纳入我市智慧城市建设“十三五”规划。在全面实施“互联网+”行动，加快推进城市管理智能化、惠民服务便捷化的过程中，充分考虑残疾人的特殊需求，使残疾人享受到互联网与政府公共服务体系深度融合的一体化在线公共服务体系和智慧社保、智慧医疗、智慧教育等公共信息服务体系的建设成果。</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市、区政府新闻发布会逐步增加手语服务，市、区政府及其承担公共服务职能的各部门网站和主要社会公共服务机构网站无障碍服务能力达到基本水平。</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天津电视台和各区有线电视台更多的电视节目加配字幕或手语解说。推广在公共服务机构和公共场所为残疾人提供语音和文字提示、手语、盲文等信息交流服务。推进社区选举无障碍。实施聋人短信报警服务。</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(七)广泛开展残疾人、老年人家庭和社区无障碍改造。</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总结推广“十二五”残疾人家庭和社区无障碍改造经验，继续制定年度计划，对全市有需求且具备改造条件的残疾人家庭和社区实施无障碍改造，完善工作措施，丰富改造内容，提高改造质量，切实改善和消除残疾人赖以生存的家庭和社区环境中的生活障碍。逐步将改造工作向老年人家庭扩展，为残疾人、老年人同步走入全面小康奠定物质基础。</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w:t>
      </w:r>
      <w:r>
        <w:rPr>
          <w:rStyle w:val="5"/>
          <w:rFonts w:hint="eastAsia" w:ascii="微软雅黑" w:hAnsi="微软雅黑" w:eastAsia="微软雅黑" w:cs="微软雅黑"/>
          <w:i w:val="0"/>
          <w:iCs w:val="0"/>
          <w:caps w:val="0"/>
          <w:color w:val="000000"/>
          <w:spacing w:val="0"/>
          <w:sz w:val="24"/>
          <w:szCs w:val="24"/>
          <w:bdr w:val="none" w:color="auto" w:sz="0" w:space="0"/>
        </w:rPr>
        <w:t>(八)加强无障碍建设研究、宣传。</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支持高等院校、科研机构成立相关研究机构，开设无障碍相关课程，培养专门人才，开展有关无障碍环境建设方面的课题研究。发挥无障碍环境建设专家组作用，为“十三五”无障碍工作开展提供智力支撑。</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对无障碍环境规划、设计、施工、建设、管理、监督等人员开展无障碍法规、规章及技术标准方面的培训，增强执行规范、开展无障碍监督的自觉性和能力。</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对全国残疾人运动会和特殊奥林匹克运动会组委会工作人员和志愿者开展残疾人礼仪与残疾观、运动会工作岗位和场馆无障碍知识培训，为残疾人提供有效服务。</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创新宣传方式，多种形式、多种载体开展无障碍环境建设的宣传，发挥互联网作用，进一步向社会公众普及无障碍知识，提高无障碍意识，扩大无障碍效应，营造全社会关心、支持、参与无障碍建设的良好氛围。</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四、检查评估</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(一)各相关部门于2018年对本方案实施情况进行中期检查。2020年进行全面总结验收。适时组织无障碍环境建设专家组和残疾人组织及代表进行评估。</w:t>
      </w:r>
    </w:p>
    <w:p>
      <w:pPr>
        <w:pStyle w:val="2"/>
        <w:keepNext w:val="0"/>
        <w:keepLines w:val="0"/>
        <w:widowControl/>
        <w:suppressLineNumbers w:val="0"/>
        <w:spacing w:before="0" w:beforeAutospacing="0" w:after="0" w:afterAutospacing="0" w:line="480" w:lineRule="atLeast"/>
        <w:ind w:left="0" w:right="0"/>
      </w:pPr>
      <w:r>
        <w:rPr>
          <w:rFonts w:hint="eastAsia" w:ascii="微软雅黑" w:hAnsi="微软雅黑" w:eastAsia="微软雅黑" w:cs="微软雅黑"/>
          <w:i w:val="0"/>
          <w:iCs w:val="0"/>
          <w:caps w:val="0"/>
          <w:color w:val="000000"/>
          <w:spacing w:val="0"/>
          <w:sz w:val="24"/>
          <w:szCs w:val="24"/>
          <w:bdr w:val="none" w:color="auto" w:sz="0" w:space="0"/>
        </w:rPr>
        <w:t>　　(二)市建委、市工业和信息化委、市民政局、市残联、市老龄办根据全国统一部署，对创建无障碍环境街(乡镇)、社区(村)进行评比表彰。</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8E02AA"/>
    <w:rsid w:val="728E02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2022-04-24T02:50:00Z</dcterms:created>
  <dc:creator>清风</dc:creator>
  <cp:lastModifiedBy>清风</cp:lastModifiedBy>
  <dcterms:modified xsi:type="dcterms:W3CDTF">2022-04-24T02:52:59Z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943DD19095D445209E3F0CD0BFC64BFF</vt:lpwstr>
  </property>
</Properties>
</file>