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ascii="微软雅黑" w:hAnsi="微软雅黑" w:eastAsia="微软雅黑" w:cs="微软雅黑"/>
          <w:b/>
          <w:bCs/>
          <w:i w:val="0"/>
          <w:iCs w:val="0"/>
          <w:caps w:val="0"/>
          <w:color w:val="000000"/>
          <w:spacing w:val="0"/>
          <w:sz w:val="36"/>
          <w:szCs w:val="36"/>
        </w:rPr>
      </w:pPr>
      <w:r>
        <w:rPr>
          <w:rFonts w:hint="eastAsia" w:ascii="微软雅黑" w:hAnsi="微软雅黑" w:eastAsia="微软雅黑" w:cs="微软雅黑"/>
          <w:b/>
          <w:bCs/>
          <w:i w:val="0"/>
          <w:iCs w:val="0"/>
          <w:caps w:val="0"/>
          <w:color w:val="000000"/>
          <w:spacing w:val="0"/>
          <w:kern w:val="0"/>
          <w:sz w:val="36"/>
          <w:szCs w:val="36"/>
          <w:bdr w:val="none" w:color="auto" w:sz="0" w:space="0"/>
          <w:shd w:val="clear" w:fill="FFFFFF"/>
          <w:lang w:val="en-US" w:eastAsia="zh-CN" w:bidi="ar"/>
        </w:rPr>
        <w:t>住房和城乡建设部标准定额司关于印发 《无障碍设施建设图集》的通知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b/>
          <w:bCs/>
          <w:i w:val="0"/>
          <w:iCs w:val="0"/>
          <w:caps w:val="0"/>
          <w:color w:val="000000"/>
          <w:spacing w:val="0"/>
          <w:sz w:val="28"/>
          <w:szCs w:val="28"/>
        </w:rPr>
      </w:pPr>
      <w:r>
        <w:rPr>
          <w:rFonts w:hint="eastAsia" w:ascii="微软雅黑" w:hAnsi="微软雅黑" w:eastAsia="微软雅黑" w:cs="微软雅黑"/>
          <w:b/>
          <w:bCs/>
          <w:i w:val="0"/>
          <w:iCs w:val="0"/>
          <w:caps w:val="0"/>
          <w:color w:val="000000"/>
          <w:spacing w:val="0"/>
          <w:kern w:val="0"/>
          <w:sz w:val="28"/>
          <w:szCs w:val="28"/>
          <w:bdr w:val="none" w:color="auto" w:sz="0" w:space="0"/>
          <w:shd w:val="clear" w:fill="FFFFFF"/>
          <w:lang w:val="en-US" w:eastAsia="zh-CN" w:bidi="ar"/>
        </w:rPr>
        <w:t>建标综函﹝2019﹞44号</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jc w:val="left"/>
      </w:pPr>
      <w:r>
        <w:rPr>
          <w:rFonts w:hint="eastAsia" w:ascii="微软雅黑" w:hAnsi="微软雅黑" w:eastAsia="微软雅黑" w:cs="微软雅黑"/>
          <w:i w:val="0"/>
          <w:iCs w:val="0"/>
          <w:caps w:val="0"/>
          <w:color w:val="000000"/>
          <w:spacing w:val="0"/>
          <w:sz w:val="24"/>
          <w:szCs w:val="24"/>
          <w:bdr w:val="none" w:color="auto" w:sz="0" w:space="0"/>
          <w:shd w:val="clear" w:fill="FFFFFF"/>
        </w:rPr>
        <w:t>有关单位：</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为贯彻落实《国务院关于印发“十三五”加快残疾人小康进程规划纲要的通知》和《国务院关于印发“十三五”国家老龄事业发展和养老体系建设规划的通知》要求，为配合住房和城乡建设部、工业和信息化部、民政部、中国残联、全国老龄办组织开展的无障碍环境市县村镇创建工作，提高全国城乡无障碍环境建设水平，我们组织住房和城乡建设部标准定额研究所和中国中建设计集团有限公司主编了《无障碍设施建设图集》，经专家审查通过，现予印发。</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无障碍环境建设是贯彻习近平新时代中国特色社会主义思想和党的十九大精神、落实以人民为中心发展思想的具体体现。开展无障碍环境市县村镇创建工作，对保障包括残疾人、老年人、孕妇、儿童等在内的全体社会成员平等参与社会生活权益，增强人民群众的获得感、幸福感、安全感，促进住房和城乡建设事业高质量发展，决胜全面建成小康社会具有十分重要的意义。《无障碍设施建设图集》以国家标准《无障碍设计规范》GB 50763和《创建无障碍环境工作标准》为依据，图文并茂，指导性强。请有关单位参照《无障碍设施建设图集》，大力推进无障碍设施建设，切实提升无障碍环境建设水平。执行中有问题和情况，请及时告住房和城乡建设部标准定额司。</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jc w:val="right"/>
      </w:pP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住房和城乡建设部标准定额司    </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2019年3月8日  </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4487558"/>
    <w:rsid w:val="644875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Hyperlink"/>
    <w:basedOn w:val="4"/>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2022-04-25T01:09:00Z</dcterms:created>
  <dc:creator>清风</dc:creator>
  <cp:lastModifiedBy>清风</cp:lastModifiedBy>
  <dcterms:modified xsi:type="dcterms:W3CDTF">2022-04-25T01:10:42Z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4D29A80419D24B5EB83B1F4668D92898</vt:lpwstr>
  </property>
</Properties>
</file>