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300" w:afterAutospacing="0" w:line="23" w:lineRule="atLeast"/>
        <w:ind w:left="0" w:right="0"/>
        <w:jc w:val="center"/>
        <w:rPr>
          <w:b/>
          <w:bCs/>
          <w:sz w:val="33"/>
          <w:szCs w:val="33"/>
        </w:rPr>
      </w:pPr>
      <w:r>
        <w:rPr>
          <w:b/>
          <w:bCs/>
          <w:i w:val="0"/>
          <w:iCs w:val="0"/>
          <w:caps w:val="0"/>
          <w:color w:val="333333"/>
          <w:spacing w:val="0"/>
          <w:sz w:val="33"/>
          <w:szCs w:val="33"/>
          <w:bdr w:val="none" w:color="auto" w:sz="0" w:space="0"/>
          <w:shd w:val="clear" w:fill="FFFFFF"/>
        </w:rPr>
        <w:t>关于印发无障碍环境建设“十四五”实施方案的通知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420" w:lineRule="atLeast"/>
        <w:ind w:left="0" w:right="0" w:firstLine="0"/>
      </w:pPr>
      <w:r>
        <w:rPr>
          <w:rFonts w:hint="eastAsia" w:ascii="微软雅黑" w:hAnsi="微软雅黑" w:eastAsia="微软雅黑" w:cs="微软雅黑"/>
          <w:i w:val="0"/>
          <w:iCs w:val="0"/>
          <w:caps w:val="0"/>
          <w:color w:val="333333"/>
          <w:spacing w:val="0"/>
          <w:sz w:val="27"/>
          <w:szCs w:val="27"/>
          <w:bdr w:val="none" w:color="auto" w:sz="0" w:space="0"/>
          <w:shd w:val="clear" w:fill="FFFFFF"/>
        </w:rPr>
        <w:t>各省、自治区、直辖市残联、住房和城乡建设厅（局、委、管委）、网信办、教育厅（教委）、工业和信息化主管部门、通信管理局、公安厅（局）、民政厅（局）、交通运输厅（局、委）、文化和旅游厅(局)、卫生健康委、广播电视局、民航各地区管理局、各铁路局集团公司，新疆生产建设兵团残联、住房和城乡建设局、网信办、教育局、工业和信息化局、公安局、民政局、交通运输局、卫生健康委、文化体育广电和旅游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420" w:lineRule="atLeast"/>
        <w:ind w:left="0" w:right="0" w:firstLine="420"/>
      </w:pPr>
      <w:r>
        <w:rPr>
          <w:rFonts w:hint="eastAsia" w:ascii="微软雅黑" w:hAnsi="微软雅黑" w:eastAsia="微软雅黑" w:cs="微软雅黑"/>
          <w:i w:val="0"/>
          <w:iCs w:val="0"/>
          <w:caps w:val="0"/>
          <w:color w:val="333333"/>
          <w:spacing w:val="0"/>
          <w:sz w:val="27"/>
          <w:szCs w:val="27"/>
          <w:bdr w:val="none" w:color="auto" w:sz="0" w:space="0"/>
          <w:shd w:val="clear" w:fill="FFFFFF"/>
        </w:rPr>
        <w:t>为进一步推进无障碍环境建设，依据《中华人民共和国国民经济和社会发展第十四个五年规划和2035年远景目标纲要》和《国务院关于印发“十四五”残疾人保障和发展规划的通知》（国发〔2021〕10号），中国残疾人联合会、住房和城乡建设部、中央网信办、教育部、工业和信息化部、公安部、民政部、交通运输部、文化和旅游部、国家卫生健康委、国家广播电视总局、中国民用航空局、中国国家铁路集团有限公司联合制定了《无障碍环境建设“十四五”实施方案》，现印发给你们，请认真贯彻执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right"/>
        <w:textAlignment w:val="auto"/>
      </w:pPr>
      <w:r>
        <w:rPr>
          <w:rFonts w:hint="eastAsia" w:ascii="微软雅黑" w:hAnsi="微软雅黑" w:eastAsia="微软雅黑" w:cs="微软雅黑"/>
          <w:i w:val="0"/>
          <w:iCs w:val="0"/>
          <w:caps w:val="0"/>
          <w:color w:val="333333"/>
          <w:spacing w:val="0"/>
          <w:sz w:val="27"/>
          <w:szCs w:val="27"/>
          <w:bdr w:val="none" w:color="auto" w:sz="0" w:space="0"/>
          <w:shd w:val="clear" w:fill="FFFFFF"/>
        </w:rPr>
        <w:t>中国残疾人联合会  住房和城乡建设部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right"/>
        <w:textAlignment w:val="auto"/>
      </w:pPr>
      <w:r>
        <w:rPr>
          <w:rFonts w:hint="eastAsia" w:ascii="微软雅黑" w:hAnsi="微软雅黑" w:eastAsia="微软雅黑" w:cs="微软雅黑"/>
          <w:i w:val="0"/>
          <w:iCs w:val="0"/>
          <w:caps w:val="0"/>
          <w:color w:val="333333"/>
          <w:spacing w:val="0"/>
          <w:sz w:val="27"/>
          <w:szCs w:val="27"/>
          <w:bdr w:val="none" w:color="auto" w:sz="0" w:space="0"/>
          <w:shd w:val="clear" w:fill="FFFFFF"/>
        </w:rPr>
        <w:t>中央网信办 教育部  工业和信息化部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right"/>
        <w:textAlignment w:val="auto"/>
      </w:pPr>
      <w:r>
        <w:rPr>
          <w:rFonts w:hint="eastAsia" w:ascii="微软雅黑" w:hAnsi="微软雅黑" w:eastAsia="微软雅黑" w:cs="微软雅黑"/>
          <w:i w:val="0"/>
          <w:iCs w:val="0"/>
          <w:caps w:val="0"/>
          <w:color w:val="333333"/>
          <w:spacing w:val="0"/>
          <w:sz w:val="27"/>
          <w:szCs w:val="27"/>
          <w:bdr w:val="none" w:color="auto" w:sz="0" w:space="0"/>
          <w:shd w:val="clear" w:fill="FFFFFF"/>
        </w:rPr>
        <w:t>公安部  民政部  交通运输部  文化和旅游部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right"/>
        <w:textAlignment w:val="auto"/>
      </w:pPr>
      <w:r>
        <w:rPr>
          <w:rFonts w:hint="eastAsia" w:ascii="微软雅黑" w:hAnsi="微软雅黑" w:eastAsia="微软雅黑" w:cs="微软雅黑"/>
          <w:i w:val="0"/>
          <w:iCs w:val="0"/>
          <w:caps w:val="0"/>
          <w:color w:val="333333"/>
          <w:spacing w:val="0"/>
          <w:sz w:val="27"/>
          <w:szCs w:val="27"/>
          <w:bdr w:val="none" w:color="auto" w:sz="0" w:space="0"/>
          <w:shd w:val="clear" w:fill="FFFFFF"/>
        </w:rPr>
        <w:t>国家卫生健康委  国家广播电视总局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right"/>
        <w:textAlignment w:val="auto"/>
      </w:pPr>
      <w:r>
        <w:rPr>
          <w:rFonts w:hint="eastAsia" w:ascii="微软雅黑" w:hAnsi="微软雅黑" w:eastAsia="微软雅黑" w:cs="微软雅黑"/>
          <w:i w:val="0"/>
          <w:iCs w:val="0"/>
          <w:caps w:val="0"/>
          <w:color w:val="333333"/>
          <w:spacing w:val="0"/>
          <w:sz w:val="27"/>
          <w:szCs w:val="27"/>
          <w:bdr w:val="none" w:color="auto" w:sz="0" w:space="0"/>
          <w:shd w:val="clear" w:fill="FFFFFF"/>
        </w:rPr>
        <w:t>中国民用航空局  中国国家铁路集团有限公司</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right"/>
        <w:textAlignment w:val="auto"/>
      </w:pPr>
      <w:r>
        <w:rPr>
          <w:rFonts w:hint="eastAsia" w:ascii="微软雅黑" w:hAnsi="微软雅黑" w:eastAsia="微软雅黑" w:cs="微软雅黑"/>
          <w:i w:val="0"/>
          <w:iCs w:val="0"/>
          <w:caps w:val="0"/>
          <w:color w:val="333333"/>
          <w:spacing w:val="0"/>
          <w:sz w:val="27"/>
          <w:szCs w:val="27"/>
          <w:bdr w:val="none" w:color="auto" w:sz="0" w:space="0"/>
          <w:shd w:val="clear" w:fill="FFFFFF"/>
        </w:rPr>
        <w:t>2021年10月26日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420" w:lineRule="atLeast"/>
        <w:ind w:left="0" w:right="0"/>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420" w:lineRule="atLeast"/>
        <w:ind w:left="0" w:right="0" w:firstLine="420"/>
        <w:jc w:val="center"/>
      </w:pPr>
      <w:r>
        <w:rPr>
          <w:rFonts w:hint="eastAsia" w:ascii="微软雅黑" w:hAnsi="微软雅黑" w:eastAsia="微软雅黑" w:cs="微软雅黑"/>
          <w:i w:val="0"/>
          <w:iCs w:val="0"/>
          <w:caps w:val="0"/>
          <w:color w:val="333333"/>
          <w:spacing w:val="0"/>
          <w:sz w:val="27"/>
          <w:szCs w:val="27"/>
          <w:bdr w:val="none" w:color="auto" w:sz="0" w:space="0"/>
          <w:shd w:val="clear" w:fill="FFFFFF"/>
        </w:rPr>
        <w:t>无障碍环境建设“十四五”实施方案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420" w:lineRule="atLeast"/>
        <w:ind w:left="0" w:right="0" w:firstLine="420"/>
      </w:pPr>
      <w:r>
        <w:rPr>
          <w:rFonts w:hint="eastAsia" w:ascii="微软雅黑" w:hAnsi="微软雅黑" w:eastAsia="微软雅黑" w:cs="微软雅黑"/>
          <w:i w:val="0"/>
          <w:iCs w:val="0"/>
          <w:caps w:val="0"/>
          <w:color w:val="333333"/>
          <w:spacing w:val="0"/>
          <w:sz w:val="27"/>
          <w:szCs w:val="27"/>
          <w:bdr w:val="none" w:color="auto" w:sz="0" w:space="0"/>
          <w:shd w:val="clear" w:fill="FFFFFF"/>
        </w:rPr>
        <w:t>为进一步推进无障碍环境建设，依据《中华人民共和国国民经济和社会发展第十四个五年规划和2035年远景目标纲要》和《国务院关于印发“十四五”残疾人保障和发展规划的通知》（国发〔2021〕10号），制定本方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420" w:lineRule="atLeast"/>
        <w:ind w:left="0" w:right="0" w:firstLine="420"/>
      </w:pPr>
      <w:r>
        <w:rPr>
          <w:rFonts w:hint="eastAsia" w:ascii="微软雅黑" w:hAnsi="微软雅黑" w:eastAsia="微软雅黑" w:cs="微软雅黑"/>
          <w:i w:val="0"/>
          <w:iCs w:val="0"/>
          <w:caps w:val="0"/>
          <w:color w:val="333333"/>
          <w:spacing w:val="0"/>
          <w:sz w:val="27"/>
          <w:szCs w:val="27"/>
          <w:bdr w:val="none" w:color="auto" w:sz="0" w:space="0"/>
          <w:shd w:val="clear" w:fill="FFFFFF"/>
        </w:rPr>
        <w:t>一、背景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420" w:lineRule="atLeast"/>
        <w:ind w:left="0" w:right="0" w:firstLine="420"/>
      </w:pPr>
      <w:r>
        <w:rPr>
          <w:rFonts w:hint="eastAsia" w:ascii="微软雅黑" w:hAnsi="微软雅黑" w:eastAsia="微软雅黑" w:cs="微软雅黑"/>
          <w:i w:val="0"/>
          <w:iCs w:val="0"/>
          <w:caps w:val="0"/>
          <w:color w:val="333333"/>
          <w:spacing w:val="0"/>
          <w:sz w:val="27"/>
          <w:szCs w:val="27"/>
          <w:bdr w:val="none" w:color="auto" w:sz="0" w:space="0"/>
          <w:shd w:val="clear" w:fill="FFFFFF"/>
        </w:rPr>
        <w:t>“十三五”时期，我国无障碍环境建设法规规划政策标准体系不断完善。《中华人民共和国民法典》等法律法规强化了无障碍环境建设内容，《国务院办公厅关于全面推进城镇老旧小区改造工作的指导意见》（国办发〔2020〕23号）将建设或改造提升小区及周边无障碍设施作为城镇老旧小区改造内容。住房和城乡建设、工业和信息化、交通运输、民政、教育、公安、网信、金融、文化旅游、老龄、残联等部门出台了一系列促进无障碍环境建设的政策措施，推动无障碍环境建设水平大幅提升。无障碍环境市县村镇创建工作深入开展，共命名146个无障碍建设城市（县、镇、村）。积极推进为65万户建档立卡重度残疾人家庭进行无障碍改造，助力残疾人脱贫攻坚。北京冬奥会、冬残奥会、杭州亚运会、亚残运会筹办助推提升城市无障碍环境建设水平。相关高等院校、研究机构积极参与无障碍理论实践研究，为无障碍环境建设提供智力和人才支持。无障碍设施覆盖范围不断扩大，无障碍环境建设水平得到提高，残疾人、老年人等特殊群体出行和融入社会生活更加便利，无障碍环境建设促进了社会文明进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420" w:lineRule="atLeast"/>
        <w:ind w:left="0" w:right="0" w:firstLine="420"/>
      </w:pPr>
      <w:r>
        <w:rPr>
          <w:rFonts w:hint="eastAsia" w:ascii="微软雅黑" w:hAnsi="微软雅黑" w:eastAsia="微软雅黑" w:cs="微软雅黑"/>
          <w:i w:val="0"/>
          <w:iCs w:val="0"/>
          <w:caps w:val="0"/>
          <w:color w:val="333333"/>
          <w:spacing w:val="0"/>
          <w:sz w:val="27"/>
          <w:szCs w:val="27"/>
          <w:bdr w:val="none" w:color="auto" w:sz="0" w:space="0"/>
          <w:shd w:val="clear" w:fill="FFFFFF"/>
        </w:rPr>
        <w:t>我国无障碍环境建设目前仍存在较多困难和薄弱环节，主要有：全社会无障碍意识不强；法律法规政策标准体系不完善；无障碍设施质量不高，部分无障碍设施设计不合理、建设不规范、管护不到位；信息交流无障碍比较薄弱；残疾人家庭无障碍改造任务艰巨、改造水平有待提升；无障碍环境建设不平衡不充分不系统特征明显，与人民群众日益增长的无障碍环境需求仍有差距。</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420" w:lineRule="atLeast"/>
        <w:ind w:left="0" w:right="0" w:firstLine="420"/>
      </w:pPr>
      <w:r>
        <w:rPr>
          <w:rFonts w:hint="eastAsia" w:ascii="微软雅黑" w:hAnsi="微软雅黑" w:eastAsia="微软雅黑" w:cs="微软雅黑"/>
          <w:i w:val="0"/>
          <w:iCs w:val="0"/>
          <w:caps w:val="0"/>
          <w:color w:val="333333"/>
          <w:spacing w:val="0"/>
          <w:sz w:val="27"/>
          <w:szCs w:val="27"/>
          <w:bdr w:val="none" w:color="auto" w:sz="0" w:space="0"/>
          <w:shd w:val="clear" w:fill="FFFFFF"/>
        </w:rPr>
        <w:t>二、任务目标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420" w:lineRule="atLeast"/>
        <w:ind w:left="0" w:right="0" w:firstLine="420"/>
      </w:pPr>
      <w:r>
        <w:rPr>
          <w:rFonts w:hint="eastAsia" w:ascii="微软雅黑" w:hAnsi="微软雅黑" w:eastAsia="微软雅黑" w:cs="微软雅黑"/>
          <w:i w:val="0"/>
          <w:iCs w:val="0"/>
          <w:caps w:val="0"/>
          <w:color w:val="333333"/>
          <w:spacing w:val="0"/>
          <w:sz w:val="27"/>
          <w:szCs w:val="27"/>
          <w:bdr w:val="none" w:color="auto" w:sz="0" w:space="0"/>
          <w:shd w:val="clear" w:fill="FFFFFF"/>
        </w:rPr>
        <w:t>到2025年，无障碍环境建设法律保障机制更加健全，无障碍基本公共服务体系更加完备，信息无障碍服务深度应用，无障碍人文环境不断优化，城乡无障碍设施的系统性、完整性和包容性水平明显提升，支持110万户困难重度残疾人家庭进行无障碍改造，加快形成设施齐备、功能完善、信息通畅、体验舒适的无障碍环境，方便残疾人、老年人生产生活，增强人民群众获得感、幸福感、安全感，为2035年实现安全便捷、健康舒适、多元包容的无障碍环境奠定基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420" w:lineRule="atLeast"/>
        <w:ind w:left="0" w:right="0" w:firstLine="420"/>
      </w:pPr>
      <w:r>
        <w:rPr>
          <w:rFonts w:hint="eastAsia" w:ascii="微软雅黑" w:hAnsi="微软雅黑" w:eastAsia="微软雅黑" w:cs="微软雅黑"/>
          <w:i w:val="0"/>
          <w:iCs w:val="0"/>
          <w:caps w:val="0"/>
          <w:color w:val="333333"/>
          <w:spacing w:val="0"/>
          <w:sz w:val="27"/>
          <w:szCs w:val="27"/>
          <w:bdr w:val="none" w:color="auto" w:sz="0" w:space="0"/>
          <w:shd w:val="clear" w:fill="FFFFFF"/>
        </w:rPr>
        <w:t>三、主要指标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420" w:lineRule="atLeast"/>
        <w:ind w:left="0" w:right="0" w:firstLine="420"/>
        <w:jc w:val="center"/>
      </w:pPr>
      <w:r>
        <w:rPr>
          <w:rFonts w:hint="eastAsia" w:ascii="微软雅黑" w:hAnsi="微软雅黑" w:eastAsia="微软雅黑" w:cs="微软雅黑"/>
          <w:i w:val="0"/>
          <w:iCs w:val="0"/>
          <w:caps w:val="0"/>
          <w:color w:val="333333"/>
          <w:spacing w:val="0"/>
          <w:sz w:val="27"/>
          <w:szCs w:val="27"/>
          <w:bdr w:val="none" w:color="auto" w:sz="0" w:space="0"/>
          <w:shd w:val="clear" w:fill="FFFFFF"/>
        </w:rPr>
        <w:drawing>
          <wp:inline distT="0" distB="0" distL="114300" distR="114300">
            <wp:extent cx="4892040" cy="9040495"/>
            <wp:effectExtent l="0" t="0" r="3810" b="8255"/>
            <wp:docPr id="1" name="图片 1" descr="32023642f4fb4336bbb1b638cd35e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2023642f4fb4336bbb1b638cd35e175.jpg"/>
                    <pic:cNvPicPr>
                      <a:picLocks noChangeAspect="1"/>
                    </pic:cNvPicPr>
                  </pic:nvPicPr>
                  <pic:blipFill>
                    <a:blip r:embed="rId4"/>
                    <a:stretch>
                      <a:fillRect/>
                    </a:stretch>
                  </pic:blipFill>
                  <pic:spPr>
                    <a:xfrm>
                      <a:off x="0" y="0"/>
                      <a:ext cx="4892040" cy="9040495"/>
                    </a:xfrm>
                    <a:prstGeom prst="rect">
                      <a:avLst/>
                    </a:prstGeom>
                    <a:noFill/>
                    <a:ln w="9525">
                      <a:noFill/>
                    </a:ln>
                  </pic:spPr>
                </pic:pic>
              </a:graphicData>
            </a:graphic>
          </wp:inline>
        </w:drawing>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420" w:lineRule="atLeast"/>
        <w:ind w:left="0" w:right="0" w:firstLine="420"/>
      </w:pPr>
      <w:r>
        <w:rPr>
          <w:rFonts w:hint="eastAsia" w:ascii="微软雅黑" w:hAnsi="微软雅黑" w:eastAsia="微软雅黑" w:cs="微软雅黑"/>
          <w:i w:val="0"/>
          <w:iCs w:val="0"/>
          <w:caps w:val="0"/>
          <w:color w:val="333333"/>
          <w:spacing w:val="0"/>
          <w:sz w:val="27"/>
          <w:szCs w:val="27"/>
          <w:bdr w:val="none" w:color="auto" w:sz="0" w:space="0"/>
          <w:shd w:val="clear" w:fill="FFFFFF"/>
        </w:rPr>
        <w:t>四、工作措施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420" w:lineRule="atLeast"/>
        <w:ind w:left="0" w:right="0" w:firstLine="420"/>
      </w:pPr>
      <w:r>
        <w:rPr>
          <w:rFonts w:hint="eastAsia" w:ascii="微软雅黑" w:hAnsi="微软雅黑" w:eastAsia="微软雅黑" w:cs="微软雅黑"/>
          <w:i w:val="0"/>
          <w:iCs w:val="0"/>
          <w:caps w:val="0"/>
          <w:color w:val="333333"/>
          <w:spacing w:val="0"/>
          <w:sz w:val="27"/>
          <w:szCs w:val="27"/>
          <w:bdr w:val="none" w:color="auto" w:sz="0" w:space="0"/>
          <w:shd w:val="clear" w:fill="FFFFFF"/>
        </w:rPr>
        <w:t>（一）加快推进无障碍环境建设立法。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420" w:lineRule="atLeast"/>
        <w:ind w:left="0" w:right="0" w:firstLine="420"/>
      </w:pPr>
      <w:r>
        <w:rPr>
          <w:rFonts w:hint="eastAsia" w:ascii="微软雅黑" w:hAnsi="微软雅黑" w:eastAsia="微软雅黑" w:cs="微软雅黑"/>
          <w:i w:val="0"/>
          <w:iCs w:val="0"/>
          <w:caps w:val="0"/>
          <w:color w:val="333333"/>
          <w:spacing w:val="0"/>
          <w:sz w:val="27"/>
          <w:szCs w:val="27"/>
          <w:bdr w:val="none" w:color="auto" w:sz="0" w:space="0"/>
          <w:shd w:val="clear" w:fill="FFFFFF"/>
        </w:rPr>
        <w:t>加快推进出台无障碍环境建设促进法，完善处罚和激励措施，切实为我国无障碍环境建设工作开展提供法律保障。各地要结合地方实际，加快制定修订地方无障碍环境建设法规规章，加强法规规章执行情况监督检查，推进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420" w:lineRule="atLeast"/>
        <w:ind w:left="0" w:right="0" w:firstLine="420"/>
      </w:pPr>
      <w:r>
        <w:rPr>
          <w:rFonts w:hint="eastAsia" w:ascii="微软雅黑" w:hAnsi="微软雅黑" w:eastAsia="微软雅黑" w:cs="微软雅黑"/>
          <w:i w:val="0"/>
          <w:iCs w:val="0"/>
          <w:caps w:val="0"/>
          <w:color w:val="333333"/>
          <w:spacing w:val="0"/>
          <w:sz w:val="27"/>
          <w:szCs w:val="27"/>
          <w:bdr w:val="none" w:color="auto" w:sz="0" w:space="0"/>
          <w:shd w:val="clear" w:fill="FFFFFF"/>
        </w:rPr>
        <w:t>（二）落实无障碍环境建设推进工作机制。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420" w:lineRule="atLeast"/>
        <w:ind w:left="0" w:right="0" w:firstLine="420"/>
      </w:pPr>
      <w:r>
        <w:rPr>
          <w:rFonts w:hint="eastAsia" w:ascii="微软雅黑" w:hAnsi="微软雅黑" w:eastAsia="微软雅黑" w:cs="微软雅黑"/>
          <w:i w:val="0"/>
          <w:iCs w:val="0"/>
          <w:caps w:val="0"/>
          <w:color w:val="333333"/>
          <w:spacing w:val="0"/>
          <w:sz w:val="27"/>
          <w:szCs w:val="27"/>
          <w:bdr w:val="none" w:color="auto" w:sz="0" w:space="0"/>
          <w:shd w:val="clear" w:fill="FFFFFF"/>
        </w:rPr>
        <w:t>建立无障碍环境建设协调领导小组或部际联席会议制度，定期协商研究推进无障碍环境建设相关问题。推进将无障碍环境建设纳入信用体系，纳入文明城市、智慧城市、数字乡村建设内容。各地要推进将无障碍环境建设纳入国民经济和社会发展规划、城乡建设相关规划、残疾人保障和发展规划、老龄化、信息化规划等，制定本地无障碍环境建设“十四五”实施方案，明确任务目标和工作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420" w:lineRule="atLeast"/>
        <w:ind w:left="0" w:right="0" w:firstLine="420"/>
      </w:pPr>
      <w:r>
        <w:rPr>
          <w:rFonts w:hint="eastAsia" w:ascii="微软雅黑" w:hAnsi="微软雅黑" w:eastAsia="微软雅黑" w:cs="微软雅黑"/>
          <w:i w:val="0"/>
          <w:iCs w:val="0"/>
          <w:caps w:val="0"/>
          <w:color w:val="333333"/>
          <w:spacing w:val="0"/>
          <w:sz w:val="27"/>
          <w:szCs w:val="27"/>
          <w:bdr w:val="none" w:color="auto" w:sz="0" w:space="0"/>
          <w:shd w:val="clear" w:fill="FFFFFF"/>
        </w:rPr>
        <w:t>（三）完善无障碍环境建设政策和标准体系。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420" w:lineRule="atLeast"/>
        <w:ind w:left="0" w:right="0" w:firstLine="420"/>
      </w:pPr>
      <w:r>
        <w:rPr>
          <w:rFonts w:hint="eastAsia" w:ascii="微软雅黑" w:hAnsi="微软雅黑" w:eastAsia="微软雅黑" w:cs="微软雅黑"/>
          <w:i w:val="0"/>
          <w:iCs w:val="0"/>
          <w:caps w:val="0"/>
          <w:color w:val="333333"/>
          <w:spacing w:val="0"/>
          <w:sz w:val="27"/>
          <w:szCs w:val="27"/>
          <w:bdr w:val="none" w:color="auto" w:sz="0" w:space="0"/>
          <w:shd w:val="clear" w:fill="FFFFFF"/>
        </w:rPr>
        <w:t>推动制定鼓励无障碍改造、既有设施无障碍改造豁免、无障碍设计设施认证、无障碍环境建设公益诉讼等政策。制定修订《建筑与市政工程无障碍通用规范》、《无障碍设计规范》、《无障碍及适老建筑产品基本技术要求》、信息无障碍等相关标准，完善无障碍环境建设标准体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420" w:lineRule="atLeast"/>
        <w:ind w:left="0" w:right="0" w:firstLine="420"/>
      </w:pPr>
      <w:r>
        <w:rPr>
          <w:rFonts w:hint="eastAsia" w:ascii="微软雅黑" w:hAnsi="微软雅黑" w:eastAsia="微软雅黑" w:cs="微软雅黑"/>
          <w:i w:val="0"/>
          <w:iCs w:val="0"/>
          <w:caps w:val="0"/>
          <w:color w:val="333333"/>
          <w:spacing w:val="0"/>
          <w:sz w:val="27"/>
          <w:szCs w:val="27"/>
          <w:bdr w:val="none" w:color="auto" w:sz="0" w:space="0"/>
          <w:shd w:val="clear" w:fill="FFFFFF"/>
        </w:rPr>
        <w:t>（四）提升城乡基础设施无障碍建设水平。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420" w:lineRule="atLeast"/>
        <w:ind w:left="0" w:right="0" w:firstLine="420"/>
      </w:pPr>
      <w:r>
        <w:rPr>
          <w:rFonts w:hint="eastAsia" w:ascii="微软雅黑" w:hAnsi="微软雅黑" w:eastAsia="微软雅黑" w:cs="微软雅黑"/>
          <w:i w:val="0"/>
          <w:iCs w:val="0"/>
          <w:caps w:val="0"/>
          <w:color w:val="333333"/>
          <w:spacing w:val="0"/>
          <w:sz w:val="27"/>
          <w:szCs w:val="27"/>
          <w:bdr w:val="none" w:color="auto" w:sz="0" w:space="0"/>
          <w:shd w:val="clear" w:fill="FFFFFF"/>
        </w:rPr>
        <w:t>在城镇老旧小区改造、乡村振兴、农村人居环境整治、养老服务设施建设等工作中统筹开展城乡无障碍设施建设和改造，将无障碍环境建设情况纳入城市体检指标体系，开展体检评估。严格落实新（改、扩）建道路、公共建筑、绿地广场配套建设无障碍设施，加快既有设施无障碍改造，提升社区无障碍建设水平。加快推广无障碍公共厕所。推进综合客运枢纽、铁路客运站、汽车客运站、城市轨道交通车站、港口客运站、民用运输机场航站区、高速公路服务区等公共交通设施和民用航空器、客运列车、客运船舶、公共汽电车、城市轨道交通车辆等公共交通工具无障碍建设和改造，提高无障碍设施规范化、系统化水平。推进人行道净化专项行动和人行道建设，结合轮椅通行需求加强人行道改造，清理违法占道行为，完善盲道等无障碍设施。加强文化和旅游设施无障碍建设和改造。加快推进残疾人服务设施、老年人服务设施等无障碍建设和改造。开展乡村无障碍环境建设工作，加快补齐农村无障碍环境建设短板，发展农村残疾人、老年人无障碍基本公共服务，逐步提高农村无障碍环境水平。持续开展全国无障碍建设市县村镇达标验收工作，建立多方参与机制，引入残疾人、老年人等参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420" w:lineRule="atLeast"/>
        <w:ind w:left="0" w:right="0" w:firstLine="420"/>
      </w:pPr>
      <w:r>
        <w:rPr>
          <w:rFonts w:hint="eastAsia" w:ascii="微软雅黑" w:hAnsi="微软雅黑" w:eastAsia="微软雅黑" w:cs="微软雅黑"/>
          <w:i w:val="0"/>
          <w:iCs w:val="0"/>
          <w:caps w:val="0"/>
          <w:color w:val="333333"/>
          <w:spacing w:val="0"/>
          <w:sz w:val="27"/>
          <w:szCs w:val="27"/>
          <w:bdr w:val="none" w:color="auto" w:sz="0" w:space="0"/>
          <w:shd w:val="clear" w:fill="FFFFFF"/>
        </w:rPr>
        <w:t>（五）实施困难重度残疾人家庭无障碍改造。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420" w:lineRule="atLeast"/>
        <w:ind w:left="0" w:right="0" w:firstLine="420"/>
      </w:pPr>
      <w:r>
        <w:rPr>
          <w:rFonts w:hint="eastAsia" w:ascii="微软雅黑" w:hAnsi="微软雅黑" w:eastAsia="微软雅黑" w:cs="微软雅黑"/>
          <w:i w:val="0"/>
          <w:iCs w:val="0"/>
          <w:caps w:val="0"/>
          <w:color w:val="333333"/>
          <w:spacing w:val="0"/>
          <w:sz w:val="27"/>
          <w:szCs w:val="27"/>
          <w:bdr w:val="none" w:color="auto" w:sz="0" w:space="0"/>
          <w:shd w:val="clear" w:fill="FFFFFF"/>
        </w:rPr>
        <w:t>困难重度残疾人家庭无障碍改造是提高残疾人居家生活质量、助力残疾人全面发展和共同富裕的一个重要特色工作。建立民政、住房和城乡建设、乡村振兴、残联等多部门共同参与、互相配合的长效工作机制，在实施特殊困难高龄、失能、残疾老年人家庭适老化改造工作中，将特殊困难重度残疾老年人家庭作为重点改造对象之一予以优先支持；加强家庭无障碍设施建设技术指导，结合推进城镇老旧小区改造和农村危房改造等工作，支持有需求的困难重度残疾人家庭同步实施无障碍改造；积极向相关部门反映残疾人家庭无障碍改造需求，整合资源，形成合力，支持对110万户困难重度残疾人家庭进行无障碍改造，进一步扩大城乡困难重度残疾人家庭无障碍改造覆盖面。同时鼓励有条件的地区，扩大改造范围，适当提高改造标准，提升改造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420" w:lineRule="atLeast"/>
        <w:ind w:left="0" w:right="0" w:firstLine="420"/>
      </w:pPr>
      <w:r>
        <w:rPr>
          <w:rFonts w:hint="eastAsia" w:ascii="微软雅黑" w:hAnsi="微软雅黑" w:eastAsia="微软雅黑" w:cs="微软雅黑"/>
          <w:i w:val="0"/>
          <w:iCs w:val="0"/>
          <w:caps w:val="0"/>
          <w:color w:val="333333"/>
          <w:spacing w:val="0"/>
          <w:sz w:val="27"/>
          <w:szCs w:val="27"/>
          <w:bdr w:val="none" w:color="auto" w:sz="0" w:space="0"/>
          <w:shd w:val="clear" w:fill="FFFFFF"/>
        </w:rPr>
        <w:t>（六）大力发展信息无障碍建设。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420" w:lineRule="atLeast"/>
        <w:ind w:left="0" w:right="0" w:firstLine="420"/>
      </w:pPr>
      <w:r>
        <w:rPr>
          <w:rFonts w:hint="eastAsia" w:ascii="微软雅黑" w:hAnsi="微软雅黑" w:eastAsia="微软雅黑" w:cs="微软雅黑"/>
          <w:i w:val="0"/>
          <w:iCs w:val="0"/>
          <w:caps w:val="0"/>
          <w:color w:val="333333"/>
          <w:spacing w:val="0"/>
          <w:sz w:val="27"/>
          <w:szCs w:val="27"/>
          <w:bdr w:val="none" w:color="auto" w:sz="0" w:space="0"/>
          <w:shd w:val="clear" w:fill="FFFFFF"/>
        </w:rPr>
        <w:t>加快信息化与无障碍环境的深度融合，将信息无障碍作为新型智慧城市、数字乡村建设的重要组成部分，纳入文明城市、新型智慧城市评比指标，加快政府政务、公共服务、电子商务等信息无障碍建设，推广便利普惠的电信服务，加快普及互联网网站、移动互联网应用程序和自助公共服务设备无障碍，开展网站和移动互联网应用程序无障碍化评级评价，支持研发生产科技水平高、性价比优的信息无障碍终端产品。加快完善食品药品信息识别无障碍和无障碍地图应用。鼓励电视台在播出电视节目时配备同步字幕或手语，并逐步扩大配播手语的节目范围。公开出版发行的影视类音像制品应当逐步增加可供选择的无障碍功能。大数据、人工智能、物联网等深度应用于残疾人出行、居家生活、就业创业，方便残疾人获取信息和服务，充分参与社会生活。在信息无障碍建设中，充分兼顾老年人的需求，切实解决老年人使用智能技术困难问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420" w:lineRule="atLeast"/>
        <w:ind w:left="0" w:right="0" w:firstLine="420"/>
      </w:pPr>
      <w:r>
        <w:rPr>
          <w:rFonts w:hint="eastAsia" w:ascii="微软雅黑" w:hAnsi="微软雅黑" w:eastAsia="微软雅黑" w:cs="微软雅黑"/>
          <w:i w:val="0"/>
          <w:iCs w:val="0"/>
          <w:caps w:val="0"/>
          <w:color w:val="333333"/>
          <w:spacing w:val="0"/>
          <w:sz w:val="27"/>
          <w:szCs w:val="27"/>
          <w:bdr w:val="none" w:color="auto" w:sz="0" w:space="0"/>
          <w:shd w:val="clear" w:fill="FFFFFF"/>
        </w:rPr>
        <w:t>（七）加强无障碍环境建设监管。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420" w:lineRule="atLeast"/>
        <w:ind w:left="0" w:right="0" w:firstLine="420"/>
      </w:pPr>
      <w:r>
        <w:rPr>
          <w:rFonts w:hint="eastAsia" w:ascii="微软雅黑" w:hAnsi="微软雅黑" w:eastAsia="微软雅黑" w:cs="微软雅黑"/>
          <w:i w:val="0"/>
          <w:iCs w:val="0"/>
          <w:caps w:val="0"/>
          <w:color w:val="333333"/>
          <w:spacing w:val="0"/>
          <w:sz w:val="27"/>
          <w:szCs w:val="27"/>
          <w:bdr w:val="none" w:color="auto" w:sz="0" w:space="0"/>
          <w:shd w:val="clear" w:fill="FFFFFF"/>
        </w:rPr>
        <w:t>加强无障碍环境设施维护管理。强化市县镇村各级无障碍环境建设工作组织领导，加强管理人员配备。进一步建立人大、政协监督无障碍环境建设的机制，推动法治化监督进程。大力引导社会力量参与，结合信息化、移动互联网技术，创新监督方式，强化社会监督意识，创建无障碍环境“共谋、共建、共管、共评、共享”局面。建立残疾人督导员督导工作机制，动员、培训、组织残疾人参与、体验、促进无障碍环境建设工作，为体验促进队伍开展工作创造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420" w:lineRule="atLeast"/>
        <w:ind w:left="0" w:right="0" w:firstLine="420"/>
      </w:pPr>
      <w:r>
        <w:rPr>
          <w:rFonts w:hint="eastAsia" w:ascii="微软雅黑" w:hAnsi="微软雅黑" w:eastAsia="微软雅黑" w:cs="微软雅黑"/>
          <w:i w:val="0"/>
          <w:iCs w:val="0"/>
          <w:caps w:val="0"/>
          <w:color w:val="333333"/>
          <w:spacing w:val="0"/>
          <w:sz w:val="27"/>
          <w:szCs w:val="27"/>
          <w:bdr w:val="none" w:color="auto" w:sz="0" w:space="0"/>
          <w:shd w:val="clear" w:fill="FFFFFF"/>
        </w:rPr>
        <w:t>（八）提高全社会无障碍意识。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420" w:lineRule="atLeast"/>
        <w:ind w:left="0" w:right="0" w:firstLine="420"/>
      </w:pPr>
      <w:r>
        <w:rPr>
          <w:rFonts w:hint="eastAsia" w:ascii="微软雅黑" w:hAnsi="微软雅黑" w:eastAsia="微软雅黑" w:cs="微软雅黑"/>
          <w:i w:val="0"/>
          <w:iCs w:val="0"/>
          <w:caps w:val="0"/>
          <w:color w:val="333333"/>
          <w:spacing w:val="0"/>
          <w:sz w:val="27"/>
          <w:szCs w:val="27"/>
          <w:bdr w:val="none" w:color="auto" w:sz="0" w:space="0"/>
          <w:shd w:val="clear" w:fill="FFFFFF"/>
        </w:rPr>
        <w:t>加强无障碍环境建设教育与培训，在住房和城乡建设、交通、工业和信息化等领域职业资格考试及继续教育中纳入无障碍环境建设的相关内容。支持高等院校、中等职业技术学校开展相关领域、学科、专业、课程建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420" w:lineRule="atLeast"/>
        <w:ind w:left="0" w:right="0" w:firstLine="420"/>
      </w:pPr>
      <w:r>
        <w:rPr>
          <w:rFonts w:hint="eastAsia" w:ascii="微软雅黑" w:hAnsi="微软雅黑" w:eastAsia="微软雅黑" w:cs="微软雅黑"/>
          <w:i w:val="0"/>
          <w:iCs w:val="0"/>
          <w:caps w:val="0"/>
          <w:color w:val="333333"/>
          <w:spacing w:val="0"/>
          <w:sz w:val="27"/>
          <w:szCs w:val="27"/>
          <w:bdr w:val="none" w:color="auto" w:sz="0" w:space="0"/>
          <w:shd w:val="clear" w:fill="FFFFFF"/>
        </w:rPr>
        <w:t>积极宣传贯彻落实习近平总书记“无障碍设施建设问题，是一个国家和社会文明的标志，我们要高度重视”的重要指示精神。举办全国无障碍环境建设成果应用展示推广活动，广泛传播无障碍环境建设法规政策标准和相关知识，继续动员高校、研究机构开展无障碍理论实践研究，为雄安新区、北京冬奥会冬残奥会等国家重要战略区域和重大工程无障碍建设提供人才和专家智力支持，参与“一带一路”残疾人事务主题活动、世界互联网大会等，讲好中国无障碍故事，服务国家外交大局。进一步营造无障碍环境建设的良好社会氛围，让关心支持无障碍环境建设的理念日益深入人心和成为公民自觉行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420" w:lineRule="atLeast"/>
        <w:ind w:left="0" w:right="0" w:firstLine="420"/>
      </w:pPr>
      <w:r>
        <w:rPr>
          <w:rFonts w:hint="eastAsia" w:ascii="微软雅黑" w:hAnsi="微软雅黑" w:eastAsia="微软雅黑" w:cs="微软雅黑"/>
          <w:i w:val="0"/>
          <w:iCs w:val="0"/>
          <w:caps w:val="0"/>
          <w:color w:val="333333"/>
          <w:spacing w:val="0"/>
          <w:sz w:val="27"/>
          <w:szCs w:val="27"/>
          <w:bdr w:val="none" w:color="auto" w:sz="0" w:space="0"/>
          <w:shd w:val="clear" w:fill="FFFFFF"/>
        </w:rPr>
        <w:t>五、检查评估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420" w:lineRule="atLeast"/>
        <w:ind w:left="0" w:right="0" w:firstLine="420"/>
      </w:pPr>
      <w:r>
        <w:rPr>
          <w:rFonts w:hint="eastAsia" w:ascii="微软雅黑" w:hAnsi="微软雅黑" w:eastAsia="微软雅黑" w:cs="微软雅黑"/>
          <w:i w:val="0"/>
          <w:iCs w:val="0"/>
          <w:caps w:val="0"/>
          <w:color w:val="333333"/>
          <w:spacing w:val="0"/>
          <w:sz w:val="27"/>
          <w:szCs w:val="27"/>
          <w:bdr w:val="none" w:color="auto" w:sz="0" w:space="0"/>
          <w:shd w:val="clear" w:fill="FFFFFF"/>
        </w:rPr>
        <w:t>各相关部门于2023年对本方案实施情况进行中期检查，2025年进行全面总结验收。探索组织全国无障碍环境建设专家委员会和残疾人组织及代表、高等院校、科研院所等进行第三方评估。</w:t>
      </w:r>
    </w:p>
    <w:p/>
    <w:sectPr>
      <w:pgSz w:w="11906" w:h="16838"/>
      <w:pgMar w:top="1247" w:right="1134" w:bottom="1134" w:left="124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4C77E0"/>
    <w:rsid w:val="484C77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29</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2022-04-21T01:27:00Z</dcterms:created>
  <dc:creator>清风</dc:creator>
  <cp:lastModifiedBy>清风</cp:lastModifiedBy>
  <dcterms:modified xsi:type="dcterms:W3CDTF">2022-04-21T01:57:43Z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7C93C56A9DD54091AEB0C8836B161000</vt:lpwstr>
  </property>
</Properties>
</file>