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00" w:lineRule="auto"/>
        <w:jc w:val="center"/>
        <w:rPr>
          <w:spacing w:val="-8"/>
          <w:w w:val="95"/>
          <w:sz w:val="44"/>
          <w:szCs w:val="44"/>
        </w:rPr>
      </w:pPr>
      <w:r>
        <w:rPr>
          <w:rFonts w:hAnsi="宋体"/>
          <w:spacing w:val="-8"/>
          <w:w w:val="95"/>
          <w:sz w:val="44"/>
          <w:szCs w:val="44"/>
        </w:rPr>
        <w:t>天津市城乡建设和交通委员会文件</w:t>
      </w:r>
    </w:p>
    <w:p>
      <w:pPr>
        <w:spacing w:line="300" w:lineRule="auto"/>
        <w:jc w:val="center"/>
        <w:rPr>
          <w:szCs w:val="21"/>
        </w:rPr>
      </w:pPr>
      <w:r>
        <w:rPr>
          <w:szCs w:val="21"/>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61595</wp:posOffset>
                </wp:positionV>
                <wp:extent cx="5615940" cy="0"/>
                <wp:effectExtent l="0" t="19050" r="3810" b="19050"/>
                <wp:wrapNone/>
                <wp:docPr id="1" name="直接连接符 1"/>
                <wp:cNvGraphicFramePr/>
                <a:graphic xmlns:a="http://schemas.openxmlformats.org/drawingml/2006/main">
                  <a:graphicData uri="http://schemas.microsoft.com/office/word/2010/wordprocessingShape">
                    <wps:wsp>
                      <wps:cNvSpPr/>
                      <wps:spPr>
                        <a:xfrm>
                          <a:off x="0" y="0"/>
                          <a:ext cx="5615940" cy="0"/>
                        </a:xfrm>
                        <a:prstGeom prst="line">
                          <a:avLst/>
                        </a:prstGeom>
                        <a:ln w="38100"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4.85pt;height:0pt;width:442.2pt;z-index:251659264;mso-width-relative:page;mso-height-relative:page;" filled="f" stroked="t" coordsize="21600,21600" o:gfxdata="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JW16jSAAAABAEAAA8AAAAAAAAAAQAgAAAAIgAAAGRycy9kb3ducmV2LnhtbFBLAQIUABQA&#10;AAAIAIdO4kDGOs649gEAAOUDAAAOAAAAAAAAAAEAIAAAACEBAABkcnMvZTJvRG9jLnhtbFBLBQYA&#10;AAAABgAGAFkBAACJBQAAAAA=&#10;">
                <v:path arrowok="t"/>
                <v:fill on="f" focussize="0,0"/>
                <v:stroke weight="3pt" color="#FF0000" imagealignshape="1"/>
                <v:imagedata o:title=""/>
                <o:lock v:ext="edit"/>
                <o:callout minusx="t" minusy="t"/>
              </v:line>
            </w:pict>
          </mc:Fallback>
        </mc:AlternateContent>
      </w:r>
    </w:p>
    <w:p>
      <w:pPr>
        <w:shd w:val="clear" w:color="auto" w:fill="FFFFFF"/>
        <w:spacing w:after="120" w:afterLines="50" w:line="300" w:lineRule="auto"/>
        <w:jc w:val="center"/>
        <w:outlineLvl w:val="0"/>
        <w:rPr>
          <w:rFonts w:hint="eastAsia" w:ascii="黑体" w:hAnsi="宋体" w:eastAsia="黑体"/>
          <w:color w:val="000000"/>
          <w:kern w:val="0"/>
          <w:sz w:val="30"/>
          <w:szCs w:val="30"/>
          <w:lang w:eastAsia="zh-CN"/>
        </w:rPr>
      </w:pPr>
      <w:bookmarkStart w:id="0" w:name="_Toc395690235"/>
      <w:r>
        <w:rPr>
          <w:rFonts w:ascii="黑体" w:hAnsi="宋体" w:eastAsia="黑体"/>
          <w:color w:val="000000"/>
          <w:kern w:val="0"/>
          <w:sz w:val="30"/>
          <w:szCs w:val="30"/>
        </w:rPr>
        <w:t>关于全市各类高度超出地方标准规定的幕墙工程设计与施工方案论证问题的通知</w:t>
      </w:r>
    </w:p>
    <w:p>
      <w:pPr>
        <w:shd w:val="clear" w:color="auto" w:fill="FFFFFF"/>
        <w:spacing w:after="120" w:afterLines="50" w:line="300" w:lineRule="auto"/>
        <w:jc w:val="center"/>
        <w:outlineLvl w:val="0"/>
        <w:rPr>
          <w:rFonts w:hint="eastAsia" w:ascii="黑体" w:hAnsi="宋体" w:eastAsia="黑体"/>
          <w:color w:val="000000"/>
          <w:kern w:val="0"/>
          <w:sz w:val="30"/>
          <w:szCs w:val="30"/>
        </w:rPr>
      </w:pPr>
      <w:r>
        <w:rPr>
          <w:rFonts w:hint="eastAsia" w:ascii="黑体" w:hAnsi="宋体" w:eastAsia="黑体"/>
          <w:color w:val="000000"/>
          <w:kern w:val="0"/>
          <w:sz w:val="30"/>
          <w:szCs w:val="30"/>
        </w:rPr>
        <w:t>(</w:t>
      </w:r>
      <w:r>
        <w:rPr>
          <w:rFonts w:ascii="黑体" w:hAnsi="宋体" w:eastAsia="黑体"/>
          <w:color w:val="000000"/>
          <w:kern w:val="0"/>
          <w:sz w:val="30"/>
          <w:szCs w:val="30"/>
        </w:rPr>
        <w:t>津建技</w:t>
      </w:r>
      <w:r>
        <w:rPr>
          <w:rFonts w:hint="eastAsia" w:ascii="黑体" w:hAnsi="宋体" w:eastAsia="黑体"/>
          <w:color w:val="000000"/>
          <w:kern w:val="0"/>
          <w:sz w:val="30"/>
          <w:szCs w:val="30"/>
        </w:rPr>
        <w:t>[</w:t>
      </w:r>
      <w:r>
        <w:rPr>
          <w:rFonts w:ascii="黑体" w:hAnsi="宋体" w:eastAsia="黑体"/>
          <w:color w:val="000000"/>
          <w:kern w:val="0"/>
          <w:sz w:val="30"/>
          <w:szCs w:val="30"/>
        </w:rPr>
        <w:t>2014</w:t>
      </w:r>
      <w:r>
        <w:rPr>
          <w:rFonts w:hint="eastAsia" w:ascii="黑体" w:hAnsi="宋体" w:eastAsia="黑体"/>
          <w:color w:val="000000"/>
          <w:kern w:val="0"/>
          <w:sz w:val="30"/>
          <w:szCs w:val="30"/>
        </w:rPr>
        <w:t>]</w:t>
      </w:r>
      <w:r>
        <w:rPr>
          <w:rFonts w:ascii="黑体" w:hAnsi="宋体" w:eastAsia="黑体"/>
          <w:color w:val="000000"/>
          <w:kern w:val="0"/>
          <w:sz w:val="30"/>
          <w:szCs w:val="30"/>
        </w:rPr>
        <w:t>362号</w:t>
      </w:r>
      <w:r>
        <w:rPr>
          <w:rFonts w:hint="eastAsia" w:ascii="黑体" w:hAnsi="宋体" w:eastAsia="黑体"/>
          <w:color w:val="000000"/>
          <w:kern w:val="0"/>
          <w:sz w:val="30"/>
          <w:szCs w:val="30"/>
        </w:rPr>
        <w:t>)</w:t>
      </w:r>
      <w:bookmarkEnd w:id="0"/>
    </w:p>
    <w:p>
      <w:pPr>
        <w:spacing w:line="300" w:lineRule="auto"/>
        <w:jc w:val="center"/>
        <w:rPr>
          <w:szCs w:val="21"/>
        </w:rPr>
      </w:pPr>
    </w:p>
    <w:p>
      <w:pPr>
        <w:spacing w:line="300" w:lineRule="auto"/>
        <w:rPr>
          <w:szCs w:val="21"/>
        </w:rPr>
      </w:pPr>
      <w:r>
        <w:rPr>
          <w:rFonts w:hAnsi="宋体"/>
          <w:szCs w:val="21"/>
        </w:rPr>
        <w:t>各有关单位：</w:t>
      </w:r>
    </w:p>
    <w:p>
      <w:pPr>
        <w:spacing w:line="300" w:lineRule="auto"/>
        <w:ind w:firstLine="420" w:firstLineChars="200"/>
        <w:rPr>
          <w:szCs w:val="21"/>
        </w:rPr>
      </w:pPr>
      <w:r>
        <w:rPr>
          <w:rFonts w:hAnsi="宋体"/>
          <w:szCs w:val="21"/>
        </w:rPr>
        <w:t>按照住建部《关于危险性较大的分部分项工程管理办法》〔</w:t>
      </w:r>
      <w:r>
        <w:rPr>
          <w:szCs w:val="21"/>
        </w:rPr>
        <w:t>2009</w:t>
      </w:r>
      <w:r>
        <w:rPr>
          <w:rFonts w:hAnsi="宋体"/>
          <w:szCs w:val="21"/>
        </w:rPr>
        <w:t>〕</w:t>
      </w:r>
      <w:r>
        <w:rPr>
          <w:szCs w:val="21"/>
        </w:rPr>
        <w:t>87</w:t>
      </w:r>
      <w:r>
        <w:rPr>
          <w:rFonts w:hAnsi="宋体"/>
          <w:szCs w:val="21"/>
        </w:rPr>
        <w:t>号文件的要求，对于高度超过</w:t>
      </w:r>
      <w:r>
        <w:rPr>
          <w:szCs w:val="21"/>
        </w:rPr>
        <w:t>50</w:t>
      </w:r>
      <w:r>
        <w:rPr>
          <w:rFonts w:hAnsi="宋体"/>
          <w:szCs w:val="21"/>
        </w:rPr>
        <w:t>米的幕墙安装工程应进行安全论证。</w:t>
      </w:r>
    </w:p>
    <w:p>
      <w:pPr>
        <w:spacing w:line="300" w:lineRule="auto"/>
        <w:ind w:firstLine="420" w:firstLineChars="200"/>
        <w:rPr>
          <w:szCs w:val="21"/>
        </w:rPr>
      </w:pPr>
      <w:r>
        <w:rPr>
          <w:rFonts w:hAnsi="宋体"/>
          <w:szCs w:val="21"/>
        </w:rPr>
        <w:t>目前我市地标《建筑幕墙工程技术规范》</w:t>
      </w:r>
      <w:r>
        <w:rPr>
          <w:szCs w:val="21"/>
        </w:rPr>
        <w:t>DB29-221-2013</w:t>
      </w:r>
      <w:r>
        <w:rPr>
          <w:rFonts w:hAnsi="宋体"/>
          <w:szCs w:val="21"/>
        </w:rPr>
        <w:t>对幕墙施工高度做出了限制，该规范规定其适用范围：</w:t>
      </w:r>
      <w:r>
        <w:rPr>
          <w:szCs w:val="21"/>
        </w:rPr>
        <w:t>“1</w:t>
      </w:r>
      <w:r>
        <w:rPr>
          <w:rFonts w:hAnsi="宋体"/>
          <w:szCs w:val="21"/>
        </w:rPr>
        <w:t>、建筑高度不大于</w:t>
      </w:r>
      <w:r>
        <w:rPr>
          <w:szCs w:val="21"/>
        </w:rPr>
        <w:t>250m</w:t>
      </w:r>
      <w:r>
        <w:rPr>
          <w:rFonts w:hAnsi="宋体"/>
          <w:szCs w:val="21"/>
        </w:rPr>
        <w:t>的玻璃幕墙工程和金属幕墙工程；</w:t>
      </w:r>
      <w:r>
        <w:rPr>
          <w:szCs w:val="21"/>
        </w:rPr>
        <w:t>2</w:t>
      </w:r>
      <w:r>
        <w:rPr>
          <w:rFonts w:hAnsi="宋体"/>
          <w:szCs w:val="21"/>
        </w:rPr>
        <w:t>、建筑高度不大于</w:t>
      </w:r>
      <w:r>
        <w:rPr>
          <w:szCs w:val="21"/>
        </w:rPr>
        <w:t>150m</w:t>
      </w:r>
      <w:r>
        <w:rPr>
          <w:rFonts w:hAnsi="宋体"/>
          <w:szCs w:val="21"/>
        </w:rPr>
        <w:t>的花岗石石材幕墙工程，非花岗石石材幕墙工程高度不大于</w:t>
      </w:r>
      <w:r>
        <w:rPr>
          <w:szCs w:val="21"/>
        </w:rPr>
        <w:t>100m</w:t>
      </w:r>
      <w:r>
        <w:rPr>
          <w:rFonts w:hAnsi="宋体"/>
          <w:szCs w:val="21"/>
        </w:rPr>
        <w:t>；</w:t>
      </w:r>
      <w:r>
        <w:rPr>
          <w:szCs w:val="21"/>
        </w:rPr>
        <w:t>3</w:t>
      </w:r>
      <w:r>
        <w:rPr>
          <w:rFonts w:hAnsi="宋体"/>
          <w:szCs w:val="21"/>
        </w:rPr>
        <w:t>、人造板材幕墙工程高度不大于</w:t>
      </w:r>
      <w:r>
        <w:rPr>
          <w:szCs w:val="21"/>
        </w:rPr>
        <w:t>60m</w:t>
      </w:r>
      <w:r>
        <w:rPr>
          <w:rFonts w:hAnsi="宋体"/>
          <w:szCs w:val="21"/>
        </w:rPr>
        <w:t>。</w:t>
      </w:r>
      <w:r>
        <w:rPr>
          <w:szCs w:val="21"/>
        </w:rPr>
        <w:t>”</w:t>
      </w:r>
    </w:p>
    <w:p>
      <w:pPr>
        <w:spacing w:line="300" w:lineRule="auto"/>
        <w:ind w:firstLine="420" w:firstLineChars="200"/>
        <w:rPr>
          <w:szCs w:val="21"/>
        </w:rPr>
      </w:pPr>
      <w:r>
        <w:rPr>
          <w:rFonts w:hAnsi="宋体"/>
          <w:szCs w:val="21"/>
        </w:rPr>
        <w:t>按照地方标准严于国家标准的原则，对于高度超过地方标准的幕墙工程设计和施工方案论证应按如下要求进行：</w:t>
      </w:r>
    </w:p>
    <w:p>
      <w:pPr>
        <w:spacing w:line="300" w:lineRule="auto"/>
        <w:ind w:firstLine="420" w:firstLineChars="200"/>
        <w:rPr>
          <w:szCs w:val="21"/>
        </w:rPr>
      </w:pPr>
      <w:r>
        <w:rPr>
          <w:szCs w:val="21"/>
        </w:rPr>
        <w:t>1</w:t>
      </w:r>
      <w:r>
        <w:rPr>
          <w:rFonts w:hAnsi="宋体"/>
          <w:szCs w:val="21"/>
        </w:rPr>
        <w:t>、对于超出地方标准限制的各类幕墙工程，由工程建设单位依照住建部建质〔</w:t>
      </w:r>
      <w:r>
        <w:rPr>
          <w:szCs w:val="21"/>
        </w:rPr>
        <w:t>2009</w:t>
      </w:r>
      <w:r>
        <w:rPr>
          <w:rFonts w:hAnsi="宋体"/>
          <w:szCs w:val="21"/>
        </w:rPr>
        <w:t>〕</w:t>
      </w:r>
      <w:r>
        <w:rPr>
          <w:szCs w:val="21"/>
        </w:rPr>
        <w:t>87</w:t>
      </w:r>
      <w:r>
        <w:rPr>
          <w:rFonts w:hAnsi="宋体"/>
          <w:szCs w:val="21"/>
        </w:rPr>
        <w:t>号文件要求，组织专家进行设计和施工方案论证。</w:t>
      </w:r>
    </w:p>
    <w:p>
      <w:pPr>
        <w:spacing w:line="300" w:lineRule="auto"/>
        <w:ind w:firstLine="420" w:firstLineChars="200"/>
        <w:rPr>
          <w:szCs w:val="21"/>
        </w:rPr>
      </w:pPr>
      <w:r>
        <w:rPr>
          <w:szCs w:val="21"/>
        </w:rPr>
        <w:t>2</w:t>
      </w:r>
      <w:r>
        <w:rPr>
          <w:rFonts w:hAnsi="宋体"/>
          <w:szCs w:val="21"/>
        </w:rPr>
        <w:t>、参与论证的专家应从国家幕墙标准和地方幕墙标准的起草人员和审查人员中挑选，组成不少于七位专家的专家组。</w:t>
      </w:r>
    </w:p>
    <w:p>
      <w:pPr>
        <w:spacing w:line="300" w:lineRule="auto"/>
        <w:ind w:firstLine="420" w:firstLineChars="200"/>
        <w:rPr>
          <w:szCs w:val="21"/>
        </w:rPr>
      </w:pPr>
      <w:r>
        <w:rPr>
          <w:szCs w:val="21"/>
        </w:rPr>
        <w:t>3</w:t>
      </w:r>
      <w:r>
        <w:rPr>
          <w:rFonts w:hAnsi="宋体"/>
          <w:szCs w:val="21"/>
        </w:rPr>
        <w:t>、相关单位应根据论证意见完善设计和施工方案。幕墙施工图应经图纸审查合格后方可使用，施工方案应经单位技术负责人、项目总监理工程师、建设单位项目负责人审批签字后，方可组织实施。</w:t>
      </w:r>
    </w:p>
    <w:p>
      <w:pPr>
        <w:spacing w:line="300" w:lineRule="auto"/>
        <w:ind w:firstLine="420" w:firstLineChars="200"/>
        <w:rPr>
          <w:szCs w:val="21"/>
        </w:rPr>
      </w:pPr>
    </w:p>
    <w:p>
      <w:pPr>
        <w:spacing w:line="300" w:lineRule="auto"/>
        <w:ind w:firstLine="420" w:firstLineChars="200"/>
        <w:rPr>
          <w:szCs w:val="21"/>
        </w:rPr>
      </w:pPr>
    </w:p>
    <w:p>
      <w:pPr>
        <w:spacing w:line="300" w:lineRule="auto"/>
        <w:ind w:firstLine="420" w:firstLineChars="200"/>
        <w:rPr>
          <w:szCs w:val="21"/>
        </w:rPr>
      </w:pPr>
    </w:p>
    <w:p>
      <w:pPr>
        <w:spacing w:line="300" w:lineRule="auto"/>
        <w:ind w:firstLine="420" w:firstLineChars="200"/>
        <w:rPr>
          <w:szCs w:val="21"/>
        </w:rPr>
      </w:pPr>
    </w:p>
    <w:p>
      <w:pPr>
        <w:spacing w:line="300" w:lineRule="auto"/>
        <w:ind w:right="874" w:rightChars="416" w:firstLine="420" w:firstLineChars="200"/>
        <w:jc w:val="right"/>
        <w:rPr>
          <w:szCs w:val="21"/>
        </w:rPr>
      </w:pPr>
      <w:r>
        <w:rPr>
          <w:szCs w:val="21"/>
        </w:rPr>
        <w:t>2014</w:t>
      </w:r>
      <w:r>
        <w:rPr>
          <w:rFonts w:hAnsi="宋体"/>
          <w:szCs w:val="21"/>
        </w:rPr>
        <w:t>年</w:t>
      </w:r>
      <w:r>
        <w:rPr>
          <w:szCs w:val="21"/>
        </w:rPr>
        <w:t>6</w:t>
      </w:r>
      <w:r>
        <w:rPr>
          <w:rFonts w:hAnsi="宋体"/>
          <w:szCs w:val="21"/>
        </w:rPr>
        <w:t>月</w:t>
      </w:r>
      <w:r>
        <w:rPr>
          <w:szCs w:val="21"/>
        </w:rPr>
        <w:t>29</w:t>
      </w:r>
      <w:r>
        <w:rPr>
          <w:rFonts w:hAnsi="宋体"/>
          <w:szCs w:val="21"/>
        </w:rPr>
        <w:t>日</w:t>
      </w:r>
    </w:p>
    <w:p>
      <w:pPr>
        <w:spacing w:line="300" w:lineRule="auto"/>
        <w:ind w:firstLine="420" w:firstLineChars="200"/>
        <w:rPr>
          <w:szCs w:val="21"/>
        </w:rPr>
      </w:pPr>
      <w:r>
        <w:rPr>
          <w:rFonts w:hAnsi="宋体"/>
          <w:szCs w:val="21"/>
        </w:rPr>
        <w:t>（此件主动公开）</w:t>
      </w:r>
    </w:p>
    <w:p>
      <w:pPr>
        <w:spacing w:line="300" w:lineRule="auto"/>
        <w:ind w:firstLine="420" w:firstLineChars="200"/>
        <w:rPr>
          <w:szCs w:val="21"/>
        </w:rPr>
      </w:pPr>
    </w:p>
    <w:p>
      <w:pPr>
        <w:spacing w:line="300" w:lineRule="auto"/>
        <w:ind w:firstLine="420" w:firstLineChars="200"/>
        <w:rPr>
          <w:szCs w:val="21"/>
        </w:rPr>
      </w:pPr>
    </w:p>
    <w:p>
      <w:pPr>
        <w:spacing w:line="300" w:lineRule="auto"/>
      </w:pPr>
      <w:r>
        <w:rPr>
          <w:spacing w:val="-6"/>
          <w:szCs w:val="21"/>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400685</wp:posOffset>
                </wp:positionV>
                <wp:extent cx="5630545" cy="0"/>
                <wp:effectExtent l="0" t="0" r="0" b="0"/>
                <wp:wrapNone/>
                <wp:docPr id="3" name="直接连接符 3"/>
                <wp:cNvGraphicFramePr/>
                <a:graphic xmlns:a="http://schemas.openxmlformats.org/drawingml/2006/main">
                  <a:graphicData uri="http://schemas.microsoft.com/office/word/2010/wordprocessingShape">
                    <wps:wsp>
                      <wps:cNvSpPr/>
                      <wps:spPr>
                        <a:xfrm>
                          <a:off x="0" y="0"/>
                          <a:ext cx="5630545" cy="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31.55pt;height:0pt;width:443.35pt;z-index:251662336;mso-width-relative:page;mso-height-relative:page;" filled="f" coordsize="21600,21600" o:gfxdata="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xpSrNUAAAAGAQAADwAAAAAAAAABACAAAAAiAAAAZHJzL2Rvd25yZXYueG1sUEsBAhQA&#10;FAAAAAgAh07iQBxc4p31AQAA5QMAAA4AAAAAAAAAAQAgAAAAJAEAAGRycy9lMm9Eb2MueG1sUEsF&#10;BgAAAAAGAAYAWQEAAIsFAAAAAA==&#10;">
                <v:path arrowok="t"/>
                <v:fill on="f" focussize="0,0"/>
                <v:stroke weight="1.25pt"/>
                <v:imagedata o:title=""/>
                <o:lock v:ext="edit"/>
              </v:line>
            </w:pict>
          </mc:Fallback>
        </mc:AlternateContent>
      </w:r>
      <w:r>
        <w:rPr>
          <w:spacing w:val="-6"/>
          <w:szCs w:val="21"/>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5626735" cy="0"/>
                <wp:effectExtent l="0" t="0" r="0" b="0"/>
                <wp:wrapNone/>
                <wp:docPr id="2" name="直接连接符 2"/>
                <wp:cNvGraphicFramePr/>
                <a:graphic xmlns:a="http://schemas.openxmlformats.org/drawingml/2006/main">
                  <a:graphicData uri="http://schemas.microsoft.com/office/word/2010/wordprocessingShape">
                    <wps:wsp>
                      <wps:cNvSpPr/>
                      <wps:spPr>
                        <a:xfrm>
                          <a:off x="0" y="0"/>
                          <a:ext cx="5626735" cy="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0pt;height:0pt;width:443.05pt;z-index:251661312;mso-width-relative:page;mso-height-relative:page;" filled="f" coordsize="21600,21600" o:gfxdata="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pI0+c9IAAAACAQAADwAAAAAAAAABACAAAAAiAAAAZHJzL2Rvd25yZXYueG1sUEsBAhQAFAAA&#10;AAgAh07iQGE3I3P1AQAA5QMAAA4AAAAAAAAAAQAgAAAAIQEAAGRycy9lMm9Eb2MueG1sUEsFBgAA&#10;AAAGAAYAWQEAAIgFAAAAAA==&#10;">
                <v:path arrowok="t"/>
                <v:fill on="f" focussize="0,0"/>
                <v:stroke weight="1.25pt"/>
                <v:imagedata o:title=""/>
                <o:lock v:ext="edit"/>
              </v:line>
            </w:pict>
          </mc:Fallback>
        </mc:AlternateContent>
      </w:r>
      <w:r>
        <w:rPr>
          <w:spacing w:val="-6"/>
          <w:szCs w:val="21"/>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405120" cy="0"/>
                <wp:effectExtent l="0" t="0" r="0" b="0"/>
                <wp:wrapNone/>
                <wp:docPr id="4" name="直接连接符 4"/>
                <wp:cNvGraphicFramePr/>
                <a:graphic xmlns:a="http://schemas.openxmlformats.org/drawingml/2006/main">
                  <a:graphicData uri="http://schemas.microsoft.com/office/word/2010/wordprocessingShape">
                    <wps:wsp>
                      <wps:cNvSpPr/>
                      <wps:spPr>
                        <a:xfrm>
                          <a:off x="0" y="0"/>
                          <a:ext cx="540512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0pt;height:0pt;width:425.6pt;z-index:251660288;mso-width-relative:page;mso-height-relative:page;" filled="f" coordsize="21600,21600" o:gfxdata="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PmK0A3RAAAAAgEAAA8AAAAAAAAAAQAgAAAAIgAAAGRycy9kb3ducmV2LnhtbFBLAQIUABQAAAAI&#10;AIdO4kBi9bT99AEAAOQDAAAOAAAAAAAAAAEAIAAAACABAABkcnMvZTJvRG9jLnhtbFBLBQYAAAAA&#10;BgAGAFkBAACGBQAAAAA=&#10;">
                <v:path arrowok="t"/>
                <v:fill on="f" focussize="0,0"/>
                <v:stroke/>
                <v:imagedata o:title=""/>
                <o:lock v:ext="edit"/>
              </v:line>
            </w:pict>
          </mc:Fallback>
        </mc:AlternateContent>
      </w:r>
      <w:r>
        <w:rPr>
          <w:rFonts w:hAnsi="宋体"/>
          <w:spacing w:val="-6"/>
          <w:szCs w:val="21"/>
        </w:rPr>
        <w:t>天津市</w:t>
      </w:r>
      <w:r>
        <w:rPr>
          <w:rFonts w:hint="eastAsia" w:hAnsi="宋体"/>
          <w:spacing w:val="-6"/>
          <w:szCs w:val="21"/>
          <w:lang w:eastAsia="zh-CN"/>
        </w:rPr>
        <w:t>城</w:t>
      </w:r>
      <w:bookmarkStart w:id="1" w:name="_GoBack"/>
      <w:bookmarkEnd w:id="1"/>
      <w:r>
        <w:rPr>
          <w:rFonts w:hAnsi="宋体"/>
          <w:spacing w:val="-6"/>
          <w:szCs w:val="21"/>
        </w:rPr>
        <w:t>乡建设和交通委员会办公室</w:t>
      </w:r>
      <w:r>
        <w:rPr>
          <w:szCs w:val="21"/>
        </w:rPr>
        <w:t xml:space="preserve">         2014</w:t>
      </w:r>
      <w:r>
        <w:rPr>
          <w:rFonts w:hAnsi="宋体"/>
          <w:szCs w:val="21"/>
        </w:rPr>
        <w:t>年</w:t>
      </w:r>
      <w:r>
        <w:rPr>
          <w:szCs w:val="21"/>
        </w:rPr>
        <w:t>7</w:t>
      </w:r>
      <w:r>
        <w:rPr>
          <w:rFonts w:hAnsi="宋体"/>
          <w:szCs w:val="21"/>
        </w:rPr>
        <w:t>月</w:t>
      </w:r>
      <w:r>
        <w:rPr>
          <w:szCs w:val="21"/>
        </w:rPr>
        <w:t>4</w:t>
      </w:r>
      <w:r>
        <w:rPr>
          <w:rFonts w:hAnsi="宋体"/>
          <w:szCs w:val="21"/>
        </w:rPr>
        <w:t>日</w:t>
      </w:r>
      <w:r>
        <w:rPr>
          <w:szCs w:val="21"/>
        </w:rPr>
        <w:t xml:space="preserve"> </w:t>
      </w:r>
      <w:r>
        <w:rPr>
          <w:rFonts w:hAnsi="宋体"/>
          <w:szCs w:val="21"/>
        </w:rPr>
        <w:t>印发</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897C78"/>
    <w:rsid w:val="5B897C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2022-04-22T08:38:00Z</dcterms:created>
  <dc:creator>清风</dc:creator>
  <cp:lastModifiedBy>清风</cp:lastModifiedBy>
  <dcterms:modified xsi:type="dcterms:W3CDTF">2022-04-22T08:39:55Z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7EE85263C09C46FE8C56167E77C5D072</vt:lpwstr>
  </property>
</Properties>
</file>