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color w:val="3D3D3D"/>
          <w:spacing w:val="0"/>
          <w:kern w:val="0"/>
          <w:sz w:val="30"/>
          <w:szCs w:val="30"/>
          <w:bdr w:val="none" w:color="auto" w:sz="0" w:space="0"/>
          <w:shd w:val="clear" w:fill="FFFFFF"/>
          <w:lang w:val="en-US" w:eastAsia="zh-CN" w:bidi="ar"/>
        </w:rPr>
        <w:t>市建委关于颁布《天津市住宅装饰装修工程技术标准》的通知</w:t>
      </w:r>
    </w:p>
    <w:p>
      <w:pPr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津建科</w:t>
      </w: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[2017]283号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各有关单位：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为提高住宅装饰装修工程设计、施工的水平，规范住宅装饰装修工程的质量验收，天津市环境装饰和古建筑营造协会、天津华惠安信装饰工程有限公司等单位按照市建委《关于下达2015年天津市建设系统第一批工程建设地方标准编制计划的通知》（津建科〔2015〕286号）要求，修订完成了《天津市住宅装饰装修工程技术标准》。经市建委组织专家审定，现批准《天津市住宅装饰装修工程技术标准》（DB/T29-35-2017）为天津市工程建设地方标准，自2017年10月1日起实施。原《天津市住宅装饰装修工程技术标准》（DB29-35-2010）同时废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各相关单位在实施过程中如有不明之处及修改意见，请及时反馈给天津市环境装饰和古建筑营造协会、天津华惠安信装饰工程有限公司。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本标准由天津市城乡建设委员会负责管理。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本标准由天津市环境装饰和古建筑营造协会、天津华惠安信装饰工程有限公司负责具体技术内容的解释。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本标准由天津市建设工程技术研究所负责征订和发行，任何单位和个人不得翻印和复制。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right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2017年8月1日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（此件主动公开）</w:t>
      </w:r>
    </w:p>
    <w:sectPr>
      <w:pgSz w:w="11906" w:h="16838"/>
      <w:pgMar w:top="1247" w:right="1800" w:bottom="113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7C1780"/>
    <w:rsid w:val="047C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2022-04-22T06:44:00Z</dcterms:created>
  <dc:creator>清风</dc:creator>
  <cp:lastModifiedBy>清风</cp:lastModifiedBy>
  <dcterms:modified xsi:type="dcterms:W3CDTF">2022-04-22T06:49:40Z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834F5BBF1B5B412B811D0E84979D7FBA</vt:lpwstr>
  </property>
</Properties>
</file>