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29"/>
          <w:szCs w:val="29"/>
        </w:rPr>
      </w:pPr>
      <w:r>
        <w:rPr>
          <w:rFonts w:hint="eastAsia" w:ascii="微软雅黑" w:hAnsi="微软雅黑" w:eastAsia="微软雅黑" w:cs="微软雅黑"/>
          <w:sz w:val="29"/>
          <w:szCs w:val="29"/>
        </w:rPr>
        <w:t>天津市国土房管局关于完善住房保障有关政策问题的通知</w:t>
      </w:r>
    </w:p>
    <w:p>
      <w:pPr>
        <w:jc w:val="center"/>
        <w:rPr>
          <w:rFonts w:hint="eastAsia" w:ascii="微软雅黑" w:hAnsi="微软雅黑" w:eastAsia="微软雅黑" w:cs="微软雅黑"/>
          <w:sz w:val="25"/>
          <w:szCs w:val="25"/>
        </w:rPr>
      </w:pPr>
      <w:r>
        <w:rPr>
          <w:rFonts w:hint="eastAsia" w:ascii="微软雅黑" w:hAnsi="微软雅黑" w:eastAsia="微软雅黑" w:cs="微软雅黑"/>
          <w:sz w:val="25"/>
          <w:szCs w:val="25"/>
        </w:rPr>
        <w:t>津国土房保〔2015〕37号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各区、县房管局，各有关单位：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为进一步完善住房保障制度，根据住房保障实际工作中出现的新问题，现将完善住房保障有关政策问题明确如下：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一、廉租住房租房补贴及经济租赁房租房补贴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一）关于房屋租赁登记备案证明认定问题。《天津市住房保障三种补贴申请家庭住房面积认定若干规定》（津国土房保〔2011〕219号）规定，“申请家庭户籍落在父母或子女住房处、但未与父母或子女居住的，且能够提供在外租房满2年房屋租赁登记备案证明的，不认定父母、子女住房面积，可申请对应的最低月租房补贴”。对因人口减少而停发租房补贴的家庭，若能够提供近3年内为申请领取租房补贴，办理的满2年以上的租赁登记备案证明的,可视同“在外租房满2年房屋租赁登记备案证明”，可申请对应的最低月租房补贴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二）关于以货币形式得到住房补偿的离异家庭申请租房补贴问题。申请人离婚5年以上，离婚时以货币形式得到住房补偿，能够提供租房满2年的租赁备案证明，并且收入和财产符合条件的，可申请对应的最低月租房补贴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三）关于公产房屋购买产权后住房面积认定问题。已享受补贴家庭原有住房为公产房屋的，因购买产权后面积计算方式不同而导致的住房面积变化，不需申报，不予停发租房补贴；但进行资格变更或重新申请租房补贴时，应按购买产权后的住房面积重新认定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（四）关于户籍地址与房屋地址不符问题。由受理申请的街道办事处会同房屋所在地居委会调查核实。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二、公共租赁住房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关于特殊单亲家庭承租公共租赁住房问题。单亲家庭成员为父女或母子关系且子女年龄在14周岁以上（含），在配租集中建设的公共租赁住房时，可选择承租两个居住空间的住房。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本通知自2015年2月10日起施行。本通知施行前的有关规定与本通知不一致的，按照本通知执行。</w:t>
      </w:r>
    </w:p>
    <w:p>
      <w:pPr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2015年2月10日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961E3"/>
    <w:rsid w:val="4109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2022-04-27T06:29:00Z</dcterms:created>
  <dc:creator>清风</dc:creator>
  <cp:lastModifiedBy>清风</cp:lastModifiedBy>
  <dcterms:modified xsi:type="dcterms:W3CDTF">2022-04-27T06:33:49Z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2F7EEC05A01847D2B5C88E251F8C9E59</vt:lpwstr>
  </property>
</Properties>
</file>