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微软雅黑" w:hAnsi="微软雅黑" w:eastAsia="微软雅黑" w:cs="微软雅黑"/>
          <w:sz w:val="29"/>
          <w:szCs w:val="29"/>
        </w:rPr>
      </w:pPr>
      <w:r>
        <w:rPr>
          <w:rFonts w:hint="eastAsia" w:ascii="微软雅黑" w:hAnsi="微软雅黑" w:eastAsia="微软雅黑" w:cs="微软雅黑"/>
          <w:sz w:val="29"/>
          <w:szCs w:val="29"/>
        </w:rPr>
        <w:t>天津市国土房管局关于完善住房保障有关政策问题的通知</w:t>
      </w:r>
    </w:p>
    <w:p>
      <w:pPr>
        <w:jc w:val="center"/>
        <w:rPr>
          <w:rFonts w:hint="eastAsia" w:ascii="微软雅黑" w:hAnsi="微软雅黑" w:eastAsia="微软雅黑" w:cs="微软雅黑"/>
          <w:sz w:val="25"/>
          <w:szCs w:val="25"/>
        </w:rPr>
      </w:pPr>
      <w:r>
        <w:rPr>
          <w:rFonts w:hint="eastAsia" w:ascii="微软雅黑" w:hAnsi="微软雅黑" w:eastAsia="微软雅黑" w:cs="微软雅黑"/>
          <w:sz w:val="25"/>
          <w:szCs w:val="25"/>
        </w:rPr>
        <w:t>津国土房保〔2015〕37号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各区、县房管局，各有关单位：</w:t>
      </w:r>
    </w:p>
    <w:p>
      <w:pPr>
        <w:ind w:firstLine="480" w:firstLineChars="200"/>
        <w:rPr>
          <w:rFonts w:hint="eastAsia" w:ascii="微软雅黑" w:hAnsi="微软雅黑" w:eastAsia="微软雅黑" w:cs="微软雅黑"/>
          <w:sz w:val="24"/>
          <w:szCs w:val="24"/>
        </w:rPr>
      </w:pPr>
    </w:p>
    <w:p>
      <w:pPr>
        <w:ind w:firstLine="480" w:firstLineChars="200"/>
        <w:rPr>
          <w:rFonts w:hint="eastAsia" w:ascii="微软雅黑" w:hAnsi="微软雅黑" w:eastAsia="微软雅黑" w:cs="微软雅黑"/>
          <w:sz w:val="24"/>
          <w:szCs w:val="24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</w:rPr>
        <w:t>为进一步完善住房保障制度，根据住房保障实际工作中出现的新问题，现将完善住房保障有关政策问题明确如下：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一、廉租住房租房补贴及经济租赁房租房补贴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（一）关于房屋租赁登记备案证明认定问题。《天津市住房保障三种补贴申请家庭住房面积认定若干规定》（津国土房保〔2011〕219号）规定，“申请家庭户籍落在父母或子女住房处、但未与父母或子女居住的，且能够提供在外租房满2年房屋租赁登记备案证明的，不认定父母、子女住房面积，可申请对应的最低月租房补贴”。对因人口减少而停发租房补贴的家庭，若能够提供近3年内为申请领取租房补贴，办理的满2年以上的租赁登记备案证明的,可视同“在外租房满2年房屋租赁登记备案证明”，可申请对应的最低月租房补贴。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（二）关于以货币形式得到住房补偿的离异家庭申请租房补贴问题。申请人离婚5年以上，离婚时以货币形式得到住房补偿，能够提供租房满2年的租赁备案证明，并且收入和财产符合条件的，可申请对应的最低月租房补贴。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（三）关于公产房屋购买产权后住房面积认定问题。已享受补贴家庭原有住房为公产房屋的，因购买产权后面积计算方式不同而导致的住房面积变化，不需申报，不予停发租房补贴；但进行资格变更或重新申请租房补贴时，应按购买产权后的住房面积重新认定。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（四）关于户籍地址与房屋地址不符问题。由受理申请的街道办事处会同房屋所在地居委会调查核实。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二、公共租赁住房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关于特殊单亲家庭承租公共租赁住房问题。单亲家庭成员为父女或母子关系且子女年龄在14周岁以上（含），在配租集中建设的公共租赁住房时，可选择承租两个居住空间的住房。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本通知自2015年2月10日起施行。本通知施行前的有关规定与本通知不一致的，按照本通知执行。</w:t>
      </w:r>
    </w:p>
    <w:p>
      <w:pPr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2015年2月10日</w:t>
      </w:r>
    </w:p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0961E3"/>
    <w:rsid w:val="41096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2022-04-27T06:29:00Z</dcterms:created>
  <dc:creator>清风</dc:creator>
  <cp:lastModifiedBy>清风</cp:lastModifiedBy>
  <dcterms:modified xsi:type="dcterms:W3CDTF">2022-04-27T06:33:49Z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2F7EEC05A01847D2B5C88E251F8C9E59</vt:lpwstr>
  </property>
</Properties>
</file>