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关于加快推进棚户区（危旧房）改造的通知</w:t>
      </w:r>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建保[2012]190号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201212/20121226_212390.html&amp;amp;title=%E5%85%B3%E4%BA%8E%E5%8A%A0%E5%BF%AB%E6%8E%A8%E8%BF%9B%E6%A3%9A%E6%88%B7%E5%8C%BA%EF%BC%88%E5%8D%B1%E6%97%A7%E6%88%BF%EF%BC%89%E6%94%B9%E9%80%A0%E7%9A%84%E9%80%9A%E7%9F%A5_%E4%B8%AD%E5%8D%8E%E4%BA%BA%E6%B0%91%E5%85%B1%E5%92%8C%E5%9B%BD%E4%BD%8F%E6%88%BF%E5%92%8C%E5%9F%8E%E4%B9%A1%E5%BB%BA%E8%AE%BE%E9%83%A8&amp;amp;pic=&amp;amp;appkey=" \t "https://www.mohurd.gov.cn/gongkai/fdzdgknr/tzgg/201212/_blank"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城乡建设厅（建委、建交委、住房保障房屋管理局、国土资源房屋管理局）、发展改革委、财政厅（局）、农垦部门、林业厅（局）、侨务办公室、总工会，新疆生产建设兵团建设局、发展改革委、财务局、农业局、林业局、侨务办公室、总工会，内蒙古、龙江、大兴安岭森工（林业）集团公司：</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认真贯彻《国家基本公共服务体系“十二五”规划》（国发[2012]29号）和《国务院办公厅关于保障性安居工程建设和管理的指导意见》（国办发[2011]45号）精神，全面落实全国资源型城市与独立工矿区可持续发展及棚户区改造工作座谈会部署，扎实推进各类棚户区（危旧房）改造，现将有关要求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总体要求。深入贯彻落实科学发展观，适应工业化、城镇化发展的需要，以改善群众住房条件为出发点和落脚点，把棚户区（危旧房）改造作为城镇保障性安居工程的重要内容，加快推进集中成片棚户区（危旧房）改造，积极推进非成片棚户区（危旧房）改造，逐步开展基础设施简陋、建筑密度大的城镇旧住宅区综合整治，稳步实施城中村改造，着力推进资源型城市及独立工矿区棚户区改造。到“十二五”期末，全国成片棚户区（危旧房）力争基本完成改造，住房使用功能得到改善，基础设施得到完善，居住质量得到提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全面推进城市棚户区（危旧房）改造。城市棚户区（危旧房），指城市规划区范围内，简易结构房屋较多、建筑密度较大，使用年限久，房屋质量差，建筑安全隐患多，使用功能不完善，配套设施不健全的区域。“十二五”期间，各地要按照《国家基本公共服务体系“十二五”规划》要求，加快推进非成片棚户区（危旧房）改造、城中村改造和城镇旧住宅区综合整治。城市棚户区（危旧房）改造具体范围由市县人民政府结合当地实际情况确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城市棚户区（危旧房）改造要因地制宜，采取拆除新建、改建（扩建、翻建）、综合整治等多种方式。注重旧住宅区有机更新、旧住宅性能充分利用和历史文化街区保护。居民安置采取实物安置和货币补偿相结合；安置住房采取原地重建和异地建设相结合，能就近安置的，尽可能就近安置。在改造中可配套建设一定数量的廉租住房、公共租赁住房等保障性住房，统筹用于符合条件的保障家庭。各地要按照《关于开展旧住宅区整治改造的指导意见》（建住房[2007]109号）规定，加快城镇旧住宅区综合整治，加强环境综合整治和房屋维修改造，完善使用功能和配套设施，提高建筑节能水平。要加大投入力度，完善配套基础设施和公共服务设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对城市规划区内的城中村，要按照城镇规划稳步实施改造。要合理利用城镇土地，调整用地结构，完善城镇功能，增强综合承载能力。对城市建成区内，已无农村户口和集体用地、撤消了乡村行政建制、实施街道办事处居委会城镇管理的区域，要优先安排改造。对城市规划区范围内，土地已被全部或部分征用，原农村居民已全部或部分转变为城镇户口，已被建成区包围或半包围的自然村，要稳步实施改造。对城市规划区范围内其他自然村，要结合当地城镇化发展和城市基础设施建设等实际情况，区分轻重缓急，有序实施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十二五”期间，城市棚户区（危旧房）改造范围内的居民安置住房筹建（新建、购买、货币补偿等）工程和原居民住房改建（扩建、翻建）工程，统一纳入国家城镇保障性安居工程规划计划，其他工程不纳入规划计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加快推进国有工矿棚户区改造。国有工矿棚户区位于城市规划区内的，要统一纳入城市棚户区改造范围；位于城市规划区外的，要统一纳入国有工矿棚户区改造范围。铁路、钢铁、有色、黄金等行业棚户区，要按照属地原则纳入各地棚户区改造规划计划组织实施。已纳入中央下放地方煤矿棚户区改造范围的煤矿棚户区，2013年年底前要基本建成，其他煤矿棚户区统一纳入国有工矿棚户区改造范围。</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国有工矿（煤矿）各级行业主管部门和工会组织，要加强对棚户区改造工作的监督指导，做好督促检查工作。地方各级政府和工矿（煤矿）企业要加大对棚户区改造的投入力度，保质保量完成改造任务。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大力推进国有林区棚户区和国有林场危旧房改造。任务较少的省（区、市）要争取在2013年年底前完成改造，其他省（区、市）要力争在2015年年底前基本完成。对林区（场）没有经济来源的特殊困难家庭，要探索通过多种方式妥善安置。要尽快研究房屋产权证明办理问题，健全具有林业特色的住房管理办法，维护职工群众的合法权益。其他林业基层单位符合条件住房困难职工，纳入当地城镇住房保障体系统筹解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积极推进国有垦区危房改造。加快剩余国有垦区危房改造，力争在2015年年底前全面完成，有条件的地区要争取在2014年年底基本完成。要注重规划先行，优化垦区危房改造布局，方便生产生活，促进垦区产业发展和小城镇建设。要探索通过多种方式妥善安置，切实解决好特困职工安居问题。将华侨农场非归难侨危房改造，统一纳入国有垦区危房改造中央补助支持范围，加快实施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进一步做好各类棚户区（危旧房）调查摸底。各地要按照属地原则，对辖区内截至2012年底尚未实施改造、在改造的各类棚户区（危旧房），逐个调查摸底，登记造册。市县住房城乡建设（住房保障）、发展改革、财政、农业、林业、侨务等部门，要协商制定调查方案，明确职责分工，建立健全部门协调配合、齐抓共管的工作机制，注意发挥好工会、行业、社区等各类组织的作用，认真组织做好调查摸底工作。省级住房城乡（住房保障）、发展改革、财政、农业、林业、侨务等部门要加强对市、县调查工作的指导，确保调查范围内的棚户区（危旧房）不遗不漏，调查数据真实、准确、完整；要做好上报数据的汇总、审核和分析工作，保证调查质量。各地要认真做好调查总结，将调查情况连同附表，于2013年1月底前报送住房城乡建设部、国家发展改革委、财政部、农业部和国家林业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按照《关于对国有工矿棚户区情况进行调查的通知》（建保[2011]199号）要求，已完成国有工矿棚户区调查摸底和上报工作的地区，要进一步核实情况，并纳入本次调查一并上报。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七、切实抓好各类棚户区（危旧房）改造的组织实施。各地要在调查摸底的基础上，按照统筹规划、分步推进、量力而行、尽力而为的原则，合理安排改造时序，有序推进各类棚户区（危旧房）改造。要充分尊重居民群众的意愿，扩大群众参与，切实维护群众合法权益。要落实好土地、财税、信贷等各项优惠政策。要拓宽融资渠道，加大投入力度，加快基础设施配套，着力完善小区居住功能。要把好规划设计关、施工质量关、建筑材料关和竣工验收关，确保工程质量安全。要加强改造后的住房管理，完善社区公共服务，确保居民安居乐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附件：1.各类棚户区（危旧房）改造情况调查汇总表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2.城市棚户区（危旧房）情况调查表（集中成片棚户区/危旧房）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3.城市棚户区（危旧房）情况调查表（非集中成片棚户区/危旧房）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4.城市棚户区（危旧房）情况调查表（城中村）</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5.城市棚户区（危旧房）情况调查表（旧住宅区综合整治）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6.国有工矿棚户区改造情况调查表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7.国有林区棚户区和国有林场危旧房改造情况调查表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8.国有垦区危房改造情况调查表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240" w:firstLineChars="10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中华人民共和国国家发展和改革委员会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中华人民共和国财政部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中华人民共和国农业部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国家林业局</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国务院侨务办公室</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中华全国总工会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2012年12月12日</w:t>
      </w:r>
    </w:p>
    <w:p/>
    <w:p/>
    <w:p/>
    <w:p/>
    <w:p/>
    <w:p/>
    <w:p/>
    <w:p/>
    <w:p/>
    <w:p/>
    <w:p/>
    <w:p/>
    <w:p/>
    <w:p/>
    <w:p/>
    <w:p/>
    <w:p/>
    <w:p/>
    <w:p/>
    <w:p/>
    <w:p/>
    <w:p>
      <w:pPr>
        <w:keepNext w:val="0"/>
        <w:keepLines w:val="0"/>
        <w:widowControl/>
        <w:suppressLineNumbers w:val="0"/>
        <w:jc w:val="left"/>
        <w:textAlignment w:val="center"/>
        <w:rPr>
          <w:rFonts w:hint="eastAsia" w:ascii="宋体" w:hAnsi="宋体" w:eastAsia="宋体" w:cs="宋体"/>
          <w:b/>
          <w:bCs/>
          <w:i w:val="0"/>
          <w:iCs w:val="0"/>
          <w:color w:val="000000"/>
          <w:kern w:val="0"/>
          <w:sz w:val="24"/>
          <w:szCs w:val="24"/>
          <w:u w:val="none"/>
          <w:bdr w:val="none" w:color="auto" w:sz="0" w:space="0"/>
          <w:lang w:val="en-US" w:eastAsia="zh-CN" w:bidi="ar"/>
        </w:rPr>
        <w:sectPr>
          <w:pgSz w:w="11906" w:h="16838"/>
          <w:pgMar w:top="1440" w:right="1800" w:bottom="1270" w:left="1800" w:header="851" w:footer="992" w:gutter="0"/>
          <w:paperSrc/>
          <w:cols w:space="0" w:num="1"/>
          <w:rtlGutter w:val="0"/>
          <w:docGrid w:type="lines" w:linePitch="312" w:charSpace="0"/>
        </w:sectPr>
      </w:pPr>
    </w:p>
    <w:tbl>
      <w:tblPr>
        <w:tblW w:w="136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460"/>
        <w:gridCol w:w="2775"/>
        <w:gridCol w:w="2670"/>
        <w:gridCol w:w="27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5460"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附件1：</w:t>
            </w:r>
          </w:p>
        </w:tc>
        <w:tc>
          <w:tcPr>
            <w:tcW w:w="277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2670"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2760"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0" w:type="auto"/>
            <w:gridSpan w:val="4"/>
            <w:tcBorders>
              <w:top w:val="nil"/>
              <w:left w:val="nil"/>
              <w:bottom w:val="nil"/>
              <w:right w:val="nil"/>
            </w:tcBorders>
            <w:shd w:val="clear"/>
            <w:noWrap/>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各类棚户区（危旧房）改造情况调查汇总表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5460" w:type="dxa"/>
            <w:tcBorders>
              <w:top w:val="nil"/>
              <w:left w:val="nil"/>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填报单位：</w:t>
            </w:r>
          </w:p>
        </w:tc>
        <w:tc>
          <w:tcPr>
            <w:tcW w:w="0" w:type="auto"/>
            <w:tcBorders>
              <w:top w:val="nil"/>
              <w:left w:val="nil"/>
              <w:bottom w:val="single" w:color="000000" w:sz="4" w:space="0"/>
              <w:right w:val="nil"/>
            </w:tcBorders>
            <w:shd w:val="clear"/>
            <w:noWrap/>
            <w:vAlign w:val="center"/>
          </w:tcPr>
          <w:p>
            <w:pPr>
              <w:jc w:val="center"/>
              <w:rPr>
                <w:rFonts w:hint="eastAsia" w:ascii="宋体" w:hAnsi="宋体" w:eastAsia="宋体" w:cs="宋体"/>
                <w:i w:val="0"/>
                <w:iCs w:val="0"/>
                <w:color w:val="000000"/>
                <w:sz w:val="40"/>
                <w:szCs w:val="40"/>
                <w:u w:val="none"/>
              </w:rPr>
            </w:pPr>
          </w:p>
        </w:tc>
        <w:tc>
          <w:tcPr>
            <w:tcW w:w="0" w:type="auto"/>
            <w:tcBorders>
              <w:top w:val="nil"/>
              <w:left w:val="nil"/>
              <w:bottom w:val="single" w:color="000000" w:sz="4" w:space="0"/>
              <w:right w:val="nil"/>
            </w:tcBorders>
            <w:shd w:val="clear"/>
            <w:noWrap/>
            <w:vAlign w:val="center"/>
          </w:tcPr>
          <w:p>
            <w:pPr>
              <w:jc w:val="center"/>
              <w:rPr>
                <w:rFonts w:hint="eastAsia" w:ascii="宋体" w:hAnsi="宋体" w:eastAsia="宋体" w:cs="宋体"/>
                <w:i w:val="0"/>
                <w:iCs w:val="0"/>
                <w:color w:val="000000"/>
                <w:sz w:val="40"/>
                <w:szCs w:val="40"/>
                <w:u w:val="none"/>
              </w:rPr>
            </w:pPr>
          </w:p>
        </w:tc>
        <w:tc>
          <w:tcPr>
            <w:tcW w:w="0" w:type="auto"/>
            <w:tcBorders>
              <w:top w:val="nil"/>
              <w:left w:val="nil"/>
              <w:bottom w:val="single" w:color="000000" w:sz="4" w:space="0"/>
              <w:right w:val="nil"/>
            </w:tcBorders>
            <w:shd w:val="clear"/>
            <w:noWrap/>
            <w:vAlign w:val="center"/>
          </w:tcPr>
          <w:p>
            <w:pPr>
              <w:jc w:val="center"/>
              <w:rPr>
                <w:rFonts w:hint="eastAsia" w:ascii="宋体" w:hAnsi="宋体" w:eastAsia="宋体" w:cs="宋体"/>
                <w:i w:val="0"/>
                <w:iCs w:val="0"/>
                <w:color w:val="000000"/>
                <w:sz w:val="40"/>
                <w:szCs w:val="4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35" w:hRule="atLeast"/>
        </w:trPr>
        <w:tc>
          <w:tcPr>
            <w:tcW w:w="5460" w:type="dxa"/>
            <w:tcBorders>
              <w:top w:val="single" w:color="000000" w:sz="4" w:space="0"/>
              <w:left w:val="single" w:color="000000" w:sz="4" w:space="0"/>
              <w:bottom w:val="single" w:color="000000" w:sz="4" w:space="0"/>
              <w:right w:val="single" w:color="000000" w:sz="4" w:space="0"/>
              <w:tl2br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截至2012年底剩余改造户数（户）</w:t>
            </w: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2013-2015年规划改造户数（户）</w:t>
            </w: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2015年末剩余改造户数（户）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一、城市棚户区（危旧房）</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 xml:space="preserve">  1、集中成片</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 xml:space="preserve">  2、非集中成片</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 xml:space="preserve">  3、城中村</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 xml:space="preserve">  4、旧住宅区综合整治</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二、国有工矿棚户区</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 xml:space="preserve"> 其中：规划区内纳入城市棚户区（危旧房）改造</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三、国有林区（场）棚户区（危旧房）</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四、国有垦区危房</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 xml:space="preserve"> 其中：华侨农场非归难侨棚户区（危旧房）</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54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bdr w:val="none" w:color="auto" w:sz="0" w:space="0"/>
                <w:lang w:val="en-US" w:eastAsia="zh-CN" w:bidi="ar"/>
              </w:rPr>
              <w:t>五、中央下放地方煤矿棚户区</w:t>
            </w:r>
          </w:p>
        </w:tc>
        <w:tc>
          <w:tcPr>
            <w:tcW w:w="277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c>
          <w:tcPr>
            <w:tcW w:w="276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13665" w:type="dxa"/>
            <w:gridSpan w:val="4"/>
            <w:tcBorders>
              <w:top w:val="single" w:color="000000" w:sz="4" w:space="0"/>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说明：城市规划区范围内纳入城市棚户区（危旧房）改造的国有工矿棚户区，请汇总到“二、国有工矿棚户区”下的“其中：规划区内纳入城市棚户区（危旧房）改造”，不得重复汇总到“一、城市棚户区（危旧房）”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 xml:space="preserve">            联系部门：</w:t>
            </w: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r>
    </w:tbl>
    <w:p>
      <w:pPr>
        <w:sectPr>
          <w:pgSz w:w="16838" w:h="11906" w:orient="landscape"/>
          <w:pgMar w:top="1803" w:right="1440" w:bottom="1519" w:left="1440" w:header="851" w:footer="992" w:gutter="0"/>
          <w:paperSrc/>
          <w:cols w:space="0" w:num="1"/>
          <w:rtlGutter w:val="0"/>
          <w:docGrid w:type="lines" w:linePitch="319" w:charSpace="0"/>
        </w:sectPr>
      </w:pPr>
    </w:p>
    <w:tbl>
      <w:tblPr>
        <w:tblW w:w="1534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630"/>
        <w:gridCol w:w="645"/>
        <w:gridCol w:w="645"/>
        <w:gridCol w:w="645"/>
        <w:gridCol w:w="1220"/>
        <w:gridCol w:w="578"/>
        <w:gridCol w:w="578"/>
        <w:gridCol w:w="578"/>
        <w:gridCol w:w="669"/>
        <w:gridCol w:w="578"/>
        <w:gridCol w:w="1020"/>
        <w:gridCol w:w="578"/>
        <w:gridCol w:w="222"/>
        <w:gridCol w:w="578"/>
        <w:gridCol w:w="578"/>
        <w:gridCol w:w="819"/>
        <w:gridCol w:w="669"/>
        <w:gridCol w:w="578"/>
        <w:gridCol w:w="669"/>
        <w:gridCol w:w="578"/>
        <w:gridCol w:w="1220"/>
        <w:gridCol w:w="578"/>
        <w:gridCol w:w="578"/>
        <w:gridCol w:w="5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90" w:hRule="atLeast"/>
        </w:trPr>
        <w:tc>
          <w:tcPr>
            <w:tcW w:w="2565" w:type="dxa"/>
            <w:gridSpan w:val="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附件2：</w:t>
            </w: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5" w:hRule="atLeast"/>
        </w:trPr>
        <w:tc>
          <w:tcPr>
            <w:tcW w:w="15345" w:type="dxa"/>
            <w:gridSpan w:val="24"/>
            <w:tcBorders>
              <w:top w:val="nil"/>
              <w:left w:val="nil"/>
              <w:bottom w:val="nil"/>
              <w:right w:val="nil"/>
            </w:tcBorders>
            <w:shd w:val="clear"/>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城市棚户区（危旧房）情况调查表（集中成片棚户区/危旧房）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gridSpan w:val="2"/>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填报单位：</w:t>
            </w:r>
          </w:p>
        </w:tc>
        <w:tc>
          <w:tcPr>
            <w:tcW w:w="14070" w:type="dxa"/>
            <w:gridSpan w:val="22"/>
            <w:tcBorders>
              <w:top w:val="nil"/>
              <w:left w:val="nil"/>
              <w:bottom w:val="nil"/>
              <w:right w:val="nil"/>
            </w:tcBorders>
            <w:shd w:val="clear"/>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序号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棚户区名称</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所在市县</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区位</w:t>
            </w:r>
          </w:p>
        </w:tc>
        <w:tc>
          <w:tcPr>
            <w:tcW w:w="2580" w:type="dxa"/>
            <w:gridSpan w:val="4"/>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棚户区基本情况</w:t>
            </w:r>
          </w:p>
        </w:tc>
        <w:tc>
          <w:tcPr>
            <w:tcW w:w="5040"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截至2012年底已改造情况</w:t>
            </w:r>
          </w:p>
        </w:tc>
        <w:tc>
          <w:tcPr>
            <w:tcW w:w="5160"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2013-2015年改造规划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1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填写序号：1、建成区之内。2、建成区之外。</w:t>
            </w: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住宅房屋</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非住宅房屋面积（平方米）</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改造总投资估算（万元）</w:t>
            </w:r>
          </w:p>
        </w:tc>
        <w:tc>
          <w:tcPr>
            <w:tcW w:w="255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安置住房建设</w:t>
            </w:r>
          </w:p>
        </w:tc>
        <w:tc>
          <w:tcPr>
            <w:tcW w:w="184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已完成征收（收购）补偿（户）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c>
          <w:tcPr>
            <w:tcW w:w="258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安置住房建设</w:t>
            </w:r>
          </w:p>
        </w:tc>
        <w:tc>
          <w:tcPr>
            <w:tcW w:w="193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征收（收购）补偿</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（平方米）</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开工</w:t>
            </w:r>
          </w:p>
        </w:tc>
        <w:tc>
          <w:tcPr>
            <w:tcW w:w="126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竣工</w:t>
            </w:r>
          </w:p>
        </w:tc>
        <w:tc>
          <w:tcPr>
            <w:tcW w:w="645"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其中：货币安置补偿</w:t>
            </w:r>
          </w:p>
        </w:tc>
        <w:tc>
          <w:tcPr>
            <w:tcW w:w="5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其中：实物安置补偿</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开工</w:t>
            </w: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竣工</w:t>
            </w:r>
          </w:p>
        </w:tc>
        <w:tc>
          <w:tcPr>
            <w:tcW w:w="645"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其中：货币安置补偿</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其中：实物安置补偿</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41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15345" w:type="dxa"/>
            <w:gridSpan w:val="24"/>
            <w:tcBorders>
              <w:top w:val="single" w:color="000000" w:sz="4" w:space="0"/>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63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11490" w:type="dxa"/>
            <w:gridSpan w:val="18"/>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1、调查范围：截至2012年底尚未实施改造、在改造的各类棚户区（危旧房）。截至2012年末已经竣工的，不在调查范围之内。</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63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9555" w:type="dxa"/>
            <w:gridSpan w:val="15"/>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2、城市规划区范围内的国有工矿棚户区，请填写在表6:《国有工矿棚户区改造情况调查表》中。</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8"/>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3、填写要求：一个改造项目或区片占一行。</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4、2015年前尚未作出改造规划的棚户区，只填写到“棚户区基本情况”</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5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14715" w:type="dxa"/>
            <w:gridSpan w:val="23"/>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5、参照财政部国家税务总局《关于企业参与政府统一组织的棚户区改造支出企业所得税税前扣除政策有关问题的通知》（财税〔2012〕12号），集中连片户数高于50户的区片，请填写到本表中；低于50户的区片，请填写到表3：《城市棚户区（危旧房）情况调查表（非集中成片棚户区/危旧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r>
    </w:tbl>
    <w:p/>
    <w:p/>
    <w:p/>
    <w:p/>
    <w:p/>
    <w:p/>
    <w:p/>
    <w:p/>
    <w:p/>
    <w:tbl>
      <w:tblPr>
        <w:tblW w:w="153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630"/>
        <w:gridCol w:w="490"/>
        <w:gridCol w:w="397"/>
        <w:gridCol w:w="1220"/>
        <w:gridCol w:w="759"/>
        <w:gridCol w:w="578"/>
        <w:gridCol w:w="578"/>
        <w:gridCol w:w="578"/>
        <w:gridCol w:w="669"/>
        <w:gridCol w:w="578"/>
        <w:gridCol w:w="1020"/>
        <w:gridCol w:w="578"/>
        <w:gridCol w:w="222"/>
        <w:gridCol w:w="578"/>
        <w:gridCol w:w="578"/>
        <w:gridCol w:w="578"/>
        <w:gridCol w:w="819"/>
        <w:gridCol w:w="578"/>
        <w:gridCol w:w="669"/>
        <w:gridCol w:w="578"/>
        <w:gridCol w:w="1220"/>
        <w:gridCol w:w="578"/>
        <w:gridCol w:w="578"/>
        <w:gridCol w:w="5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90" w:hRule="atLeast"/>
        </w:trPr>
        <w:tc>
          <w:tcPr>
            <w:tcW w:w="2565" w:type="dxa"/>
            <w:gridSpan w:val="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附件3：</w:t>
            </w: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8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5375" w:type="dxa"/>
            <w:gridSpan w:val="24"/>
            <w:tcBorders>
              <w:top w:val="nil"/>
              <w:left w:val="nil"/>
              <w:bottom w:val="nil"/>
              <w:right w:val="nil"/>
            </w:tcBorders>
            <w:shd w:val="clear"/>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城市棚户区（危旧房）情况调查表（非集中成片棚户区/危旧房）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gridSpan w:val="2"/>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填报单位：</w:t>
            </w:r>
          </w:p>
        </w:tc>
        <w:tc>
          <w:tcPr>
            <w:tcW w:w="14100" w:type="dxa"/>
            <w:gridSpan w:val="22"/>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序号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棚户区名称</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所在市县</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区位</w:t>
            </w:r>
          </w:p>
        </w:tc>
        <w:tc>
          <w:tcPr>
            <w:tcW w:w="2520" w:type="dxa"/>
            <w:gridSpan w:val="4"/>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棚户区基本情况</w:t>
            </w:r>
          </w:p>
        </w:tc>
        <w:tc>
          <w:tcPr>
            <w:tcW w:w="5130"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截至2012年底已改造情况</w:t>
            </w:r>
          </w:p>
        </w:tc>
        <w:tc>
          <w:tcPr>
            <w:tcW w:w="5160"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2013-2015年改造规划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填写序号：1、建成区之内。2、建成区之外。</w:t>
            </w: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住宅房屋</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非住宅房屋面积（平方米）</w:t>
            </w:r>
          </w:p>
        </w:tc>
        <w:tc>
          <w:tcPr>
            <w:tcW w:w="58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改造总投资估算（万元）</w:t>
            </w:r>
          </w:p>
        </w:tc>
        <w:tc>
          <w:tcPr>
            <w:tcW w:w="255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安置住房建设</w:t>
            </w:r>
          </w:p>
        </w:tc>
        <w:tc>
          <w:tcPr>
            <w:tcW w:w="193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已完成征收（收购）补偿（户）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c>
          <w:tcPr>
            <w:tcW w:w="258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安置住房建设</w:t>
            </w:r>
          </w:p>
        </w:tc>
        <w:tc>
          <w:tcPr>
            <w:tcW w:w="193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征收（收购）补偿</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（平方米）</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开工</w:t>
            </w:r>
          </w:p>
        </w:tc>
        <w:tc>
          <w:tcPr>
            <w:tcW w:w="126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竣工</w:t>
            </w:r>
          </w:p>
        </w:tc>
        <w:tc>
          <w:tcPr>
            <w:tcW w:w="645"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其中：货币安置补偿</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其中：实物安置补偿</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开工</w:t>
            </w: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竣工</w:t>
            </w:r>
          </w:p>
        </w:tc>
        <w:tc>
          <w:tcPr>
            <w:tcW w:w="645"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其中：货币安置补偿</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其中：实物安置补偿</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5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15375" w:type="dxa"/>
            <w:gridSpan w:val="24"/>
            <w:tcBorders>
              <w:top w:val="single" w:color="000000" w:sz="4" w:space="0"/>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63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10875" w:type="dxa"/>
            <w:gridSpan w:val="17"/>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1、调查范围：截至2012年底尚未实施改造、在改造的各类棚户区（危旧房）。截至2012年末已经竣工的，不在调查范围之内。</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63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7650" w:type="dxa"/>
            <w:gridSpan w:val="12"/>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2、填写要求：一个改造项目或改造区片占一行。</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63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12810" w:type="dxa"/>
            <w:gridSpan w:val="20"/>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3、城市规划区范围内的国有工矿棚户区，请填写在表6:《国有工矿棚户区改造情况调查表》中。</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63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0" w:type="auto"/>
            <w:gridSpan w:val="1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4、2015年前尚未作出改造规划的棚户区，只填写到“棚户区基本情况”</w:t>
            </w:r>
          </w:p>
        </w:tc>
        <w:tc>
          <w:tcPr>
            <w:tcW w:w="645"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r>
    </w:tbl>
    <w:p/>
    <w:p/>
    <w:p/>
    <w:p/>
    <w:p/>
    <w:p/>
    <w:p/>
    <w:p/>
    <w:p/>
    <w:p/>
    <w:p/>
    <w:p/>
    <w:tbl>
      <w:tblPr>
        <w:tblW w:w="152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78"/>
        <w:gridCol w:w="542"/>
        <w:gridCol w:w="1220"/>
        <w:gridCol w:w="578"/>
        <w:gridCol w:w="759"/>
        <w:gridCol w:w="578"/>
        <w:gridCol w:w="578"/>
        <w:gridCol w:w="578"/>
        <w:gridCol w:w="669"/>
        <w:gridCol w:w="1020"/>
        <w:gridCol w:w="669"/>
        <w:gridCol w:w="578"/>
        <w:gridCol w:w="222"/>
        <w:gridCol w:w="578"/>
        <w:gridCol w:w="578"/>
        <w:gridCol w:w="819"/>
        <w:gridCol w:w="669"/>
        <w:gridCol w:w="578"/>
        <w:gridCol w:w="669"/>
        <w:gridCol w:w="578"/>
        <w:gridCol w:w="1220"/>
        <w:gridCol w:w="578"/>
        <w:gridCol w:w="578"/>
        <w:gridCol w:w="5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90" w:hRule="atLeast"/>
        </w:trPr>
        <w:tc>
          <w:tcPr>
            <w:tcW w:w="2565" w:type="dxa"/>
            <w:gridSpan w:val="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附件4：</w:t>
            </w: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5240" w:type="dxa"/>
            <w:gridSpan w:val="24"/>
            <w:tcBorders>
              <w:top w:val="nil"/>
              <w:left w:val="nil"/>
              <w:bottom w:val="nil"/>
              <w:right w:val="nil"/>
            </w:tcBorders>
            <w:shd w:val="clear"/>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城市棚户区（危旧房）情况调查表（城中村）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gridSpan w:val="2"/>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填报单位：</w:t>
            </w:r>
          </w:p>
        </w:tc>
        <w:tc>
          <w:tcPr>
            <w:tcW w:w="13965" w:type="dxa"/>
            <w:gridSpan w:val="22"/>
            <w:tcBorders>
              <w:top w:val="nil"/>
              <w:left w:val="nil"/>
              <w:bottom w:val="nil"/>
              <w:right w:val="nil"/>
            </w:tcBorders>
            <w:shd w:val="clear"/>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序号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棚户区名称</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所在市县</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区位</w:t>
            </w:r>
          </w:p>
        </w:tc>
        <w:tc>
          <w:tcPr>
            <w:tcW w:w="2475" w:type="dxa"/>
            <w:gridSpan w:val="4"/>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棚户区基本情况</w:t>
            </w:r>
          </w:p>
        </w:tc>
        <w:tc>
          <w:tcPr>
            <w:tcW w:w="5040"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截至2012年底已改造情况</w:t>
            </w:r>
          </w:p>
        </w:tc>
        <w:tc>
          <w:tcPr>
            <w:tcW w:w="5160"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2013-2015年改造规划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填写序号：1、建成区之内。2、建成区之外。</w:t>
            </w: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住宅房屋</w:t>
            </w:r>
          </w:p>
        </w:tc>
        <w:tc>
          <w:tcPr>
            <w:tcW w:w="54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非住宅房屋面积（平方米）</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改造总投资估算（万元）</w:t>
            </w:r>
          </w:p>
        </w:tc>
        <w:tc>
          <w:tcPr>
            <w:tcW w:w="255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安置住房建设</w:t>
            </w:r>
          </w:p>
        </w:tc>
        <w:tc>
          <w:tcPr>
            <w:tcW w:w="184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已完成征收（收购）补偿（户）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c>
          <w:tcPr>
            <w:tcW w:w="258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安置住房建设</w:t>
            </w:r>
          </w:p>
        </w:tc>
        <w:tc>
          <w:tcPr>
            <w:tcW w:w="193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征收（收购）补偿</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（平方米）</w:t>
            </w:r>
          </w:p>
        </w:tc>
        <w:tc>
          <w:tcPr>
            <w:tcW w:w="54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开工</w:t>
            </w:r>
          </w:p>
        </w:tc>
        <w:tc>
          <w:tcPr>
            <w:tcW w:w="126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竣工</w:t>
            </w:r>
          </w:p>
        </w:tc>
        <w:tc>
          <w:tcPr>
            <w:tcW w:w="645"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其中：货币安置补偿</w:t>
            </w:r>
          </w:p>
        </w:tc>
        <w:tc>
          <w:tcPr>
            <w:tcW w:w="5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其中：实物安置补偿</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开工</w:t>
            </w:r>
          </w:p>
        </w:tc>
        <w:tc>
          <w:tcPr>
            <w:tcW w:w="12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竣工</w:t>
            </w:r>
          </w:p>
        </w:tc>
        <w:tc>
          <w:tcPr>
            <w:tcW w:w="645"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其中：货币安置补偿</w:t>
            </w:r>
          </w:p>
        </w:tc>
        <w:tc>
          <w:tcPr>
            <w:tcW w:w="64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其中：实物安置补偿</w:t>
            </w: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9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4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套数（套)</w:t>
            </w: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面积(平方米）</w:t>
            </w:r>
          </w:p>
        </w:tc>
        <w:tc>
          <w:tcPr>
            <w:tcW w:w="645"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1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0" w:type="auto"/>
            <w:gridSpan w:val="2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8"/>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1、调查范围：截至2012年底尚未实施改造、在改造的各类棚户区（危旧房）。至2012年末已经竣工的，不在调查范围之内。</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40"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1"/>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2、填写要求：一个改造项目或改造区片占一行。</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55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2"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3、2015年前尚未作出改造规划的棚户区，只填写到“棚户区基本情况”。</w:t>
            </w: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645" w:type="dxa"/>
            <w:tcBorders>
              <w:top w:val="nil"/>
              <w:left w:val="nil"/>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r>
    </w:tbl>
    <w:p/>
    <w:p/>
    <w:p/>
    <w:p/>
    <w:p/>
    <w:p/>
    <w:p/>
    <w:p/>
    <w:p/>
    <w:p/>
    <w:p/>
    <w:tbl>
      <w:tblPr>
        <w:tblW w:w="156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856"/>
        <w:gridCol w:w="807"/>
        <w:gridCol w:w="1220"/>
        <w:gridCol w:w="856"/>
        <w:gridCol w:w="870"/>
        <w:gridCol w:w="856"/>
        <w:gridCol w:w="856"/>
        <w:gridCol w:w="1020"/>
        <w:gridCol w:w="717"/>
        <w:gridCol w:w="801"/>
        <w:gridCol w:w="801"/>
        <w:gridCol w:w="801"/>
        <w:gridCol w:w="858"/>
        <w:gridCol w:w="717"/>
        <w:gridCol w:w="801"/>
        <w:gridCol w:w="1220"/>
        <w:gridCol w:w="801"/>
        <w:gridCol w:w="8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6960" w:type="dxa"/>
            <w:gridSpan w:val="8"/>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附件5：</w:t>
            </w: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15660" w:type="dxa"/>
            <w:gridSpan w:val="18"/>
            <w:tcBorders>
              <w:top w:val="nil"/>
              <w:left w:val="nil"/>
              <w:bottom w:val="nil"/>
              <w:right w:val="nil"/>
            </w:tcBorders>
            <w:shd w:val="clear"/>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城市棚户区（危旧房）情况调查表（</w:t>
            </w:r>
            <w:r>
              <w:rPr>
                <w:rStyle w:val="6"/>
                <w:bdr w:val="none" w:color="auto" w:sz="0" w:space="0"/>
                <w:lang w:val="en-US" w:eastAsia="zh-CN" w:bidi="ar"/>
              </w:rPr>
              <w:t>旧住宅区综合整治</w:t>
            </w:r>
            <w:r>
              <w:rPr>
                <w:rStyle w:val="7"/>
                <w:bdr w:val="none" w:color="auto" w:sz="0" w:space="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0" w:type="auto"/>
            <w:gridSpan w:val="5"/>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填报单位：</w:t>
            </w: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序号</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区片名称</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所在市县</w:t>
            </w: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区位</w:t>
            </w:r>
          </w:p>
        </w:tc>
        <w:tc>
          <w:tcPr>
            <w:tcW w:w="3480" w:type="dxa"/>
            <w:gridSpan w:val="4"/>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区片基本情况</w:t>
            </w:r>
          </w:p>
        </w:tc>
        <w:tc>
          <w:tcPr>
            <w:tcW w:w="4350" w:type="dxa"/>
            <w:gridSpan w:val="5"/>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截至2012年底综合整治投资情况（万元）</w:t>
            </w:r>
          </w:p>
        </w:tc>
        <w:tc>
          <w:tcPr>
            <w:tcW w:w="4350" w:type="dxa"/>
            <w:gridSpan w:val="5"/>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2013-2015年综合整治投资规划（万元）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restar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填写序号：1、建成区之内。2、建成区之外。</w:t>
            </w:r>
          </w:p>
        </w:tc>
        <w:tc>
          <w:tcPr>
            <w:tcW w:w="174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住宅房屋</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非住宅房屋面积（平方米）</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改造总投资估算（万元）</w:t>
            </w:r>
          </w:p>
        </w:tc>
        <w:tc>
          <w:tcPr>
            <w:tcW w:w="4350" w:type="dxa"/>
            <w:gridSpan w:val="5"/>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4350" w:type="dxa"/>
            <w:gridSpan w:val="5"/>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（平方米）</w:t>
            </w: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restart"/>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其中：基础设施完成投资</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其中：房屋维修养护</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其中：环境综合整治</w:t>
            </w:r>
          </w:p>
        </w:tc>
        <w:tc>
          <w:tcPr>
            <w:tcW w:w="870" w:type="dxa"/>
            <w:vMerge w:val="restart"/>
            <w:tcBorders>
              <w:top w:val="single" w:color="000000" w:sz="4" w:space="0"/>
              <w:left w:val="single" w:color="000000" w:sz="4" w:space="0"/>
              <w:bottom w:val="single" w:color="000000" w:sz="4" w:space="0"/>
              <w:right w:val="single" w:color="auto"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其中：建筑节能及供热采暖设施改造</w:t>
            </w:r>
          </w:p>
        </w:tc>
        <w:tc>
          <w:tcPr>
            <w:tcW w:w="870" w:type="dxa"/>
            <w:vMerge w:val="restart"/>
            <w:tcBorders>
              <w:top w:val="single" w:color="auto" w:sz="4" w:space="0"/>
              <w:left w:val="single" w:color="auto" w:sz="4" w:space="0"/>
              <w:bottom w:val="single" w:color="auto" w:sz="4" w:space="0"/>
              <w:right w:val="single" w:color="auto"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restart"/>
            <w:tcBorders>
              <w:top w:val="single" w:color="000000" w:sz="4" w:space="0"/>
              <w:left w:val="single" w:color="auto"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其中：基础设施完成投资</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其中：房屋维修养护</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其中：环境综合整治</w:t>
            </w:r>
          </w:p>
        </w:tc>
        <w:tc>
          <w:tcPr>
            <w:tcW w:w="8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其中：建筑节能及供热采暖设施改造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9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auto"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auto" w:sz="4" w:space="0"/>
              <w:left w:val="single" w:color="auto" w:sz="4" w:space="0"/>
              <w:bottom w:val="single" w:color="auto" w:sz="4" w:space="0"/>
              <w:right w:val="single" w:color="auto"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auto"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auto"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5660" w:type="dxa"/>
            <w:gridSpan w:val="18"/>
            <w:tcBorders>
              <w:top w:val="single" w:color="000000" w:sz="4" w:space="0"/>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14790" w:type="dxa"/>
            <w:gridSpan w:val="17"/>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1、调查范围：截至2012年底尚未实施改造、在改造的各类棚户区（危旧房）。截至2012年末已经竣工的，不在调查范围之内。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10440" w:type="dxa"/>
            <w:gridSpan w:val="12"/>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2、填写要求：一个改造项目或改造区片占一行。</w:t>
            </w: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0" w:type="dxa"/>
            <w:gridSpan w:val="10"/>
            <w:tcBorders>
              <w:top w:val="nil"/>
              <w:left w:val="nil"/>
              <w:bottom w:val="nil"/>
              <w:right w:val="nil"/>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3、2015年前尚未作出改造规划的棚户区，可只填写到“棚户区基本情况”</w:t>
            </w:r>
          </w:p>
        </w:tc>
        <w:tc>
          <w:tcPr>
            <w:tcW w:w="870"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jc w:val="left"/>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c>
          <w:tcPr>
            <w:tcW w:w="870" w:type="dxa"/>
            <w:tcBorders>
              <w:top w:val="nil"/>
              <w:left w:val="nil"/>
              <w:bottom w:val="nil"/>
              <w:right w:val="nil"/>
            </w:tcBorders>
            <w:shd w:val="clear"/>
            <w:vAlign w:val="center"/>
          </w:tcPr>
          <w:p>
            <w:pP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r>
    </w:tbl>
    <w:p/>
    <w:p/>
    <w:p/>
    <w:p/>
    <w:p/>
    <w:p/>
    <w:p/>
    <w:p/>
    <w:p/>
    <w:p/>
    <w:p/>
    <w:p/>
    <w:p/>
    <w:p/>
    <w:p/>
    <w:p/>
    <w:tbl>
      <w:tblPr>
        <w:tblW w:w="152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759"/>
        <w:gridCol w:w="397"/>
        <w:gridCol w:w="1220"/>
        <w:gridCol w:w="397"/>
        <w:gridCol w:w="397"/>
        <w:gridCol w:w="397"/>
        <w:gridCol w:w="397"/>
        <w:gridCol w:w="397"/>
        <w:gridCol w:w="397"/>
        <w:gridCol w:w="1020"/>
        <w:gridCol w:w="759"/>
        <w:gridCol w:w="578"/>
        <w:gridCol w:w="578"/>
        <w:gridCol w:w="759"/>
        <w:gridCol w:w="578"/>
        <w:gridCol w:w="578"/>
        <w:gridCol w:w="819"/>
        <w:gridCol w:w="222"/>
        <w:gridCol w:w="578"/>
        <w:gridCol w:w="759"/>
        <w:gridCol w:w="222"/>
        <w:gridCol w:w="578"/>
        <w:gridCol w:w="1220"/>
        <w:gridCol w:w="578"/>
        <w:gridCol w:w="759"/>
        <w:gridCol w:w="578"/>
        <w:gridCol w:w="5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3420" w:type="dxa"/>
            <w:gridSpan w:val="6"/>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附件6：</w:t>
            </w:r>
          </w:p>
        </w:tc>
        <w:tc>
          <w:tcPr>
            <w:tcW w:w="570" w:type="dxa"/>
            <w:tcBorders>
              <w:top w:val="nil"/>
              <w:left w:val="nil"/>
              <w:bottom w:val="nil"/>
              <w:right w:val="nil"/>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nil"/>
              <w:left w:val="nil"/>
              <w:bottom w:val="nil"/>
              <w:right w:val="nil"/>
            </w:tcBorders>
            <w:shd w:val="clear"/>
            <w:vAlign w:val="center"/>
          </w:tcPr>
          <w:p>
            <w:pPr>
              <w:jc w:val="center"/>
              <w:rPr>
                <w:rFonts w:hint="eastAsia" w:ascii="宋体" w:hAnsi="宋体" w:eastAsia="宋体" w:cs="宋体"/>
                <w:i w:val="0"/>
                <w:iCs w:val="0"/>
                <w:color w:val="000000"/>
                <w:sz w:val="18"/>
                <w:szCs w:val="18"/>
                <w:u w:val="none"/>
              </w:rPr>
            </w:pPr>
          </w:p>
        </w:tc>
        <w:tc>
          <w:tcPr>
            <w:tcW w:w="450" w:type="dxa"/>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14700" w:type="dxa"/>
            <w:gridSpan w:val="26"/>
            <w:tcBorders>
              <w:top w:val="nil"/>
              <w:left w:val="nil"/>
              <w:bottom w:val="nil"/>
              <w:right w:val="nil"/>
            </w:tcBorders>
            <w:shd w:val="clear"/>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国有工矿棚户区改造情况调查表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0" w:type="auto"/>
            <w:gridSpan w:val="2"/>
            <w:tcBorders>
              <w:top w:val="nil"/>
              <w:left w:val="nil"/>
              <w:bottom w:val="single" w:color="000000" w:sz="4" w:space="0"/>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填报单位：</w:t>
            </w: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570" w:type="dxa"/>
            <w:tcBorders>
              <w:top w:val="nil"/>
              <w:left w:val="nil"/>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0" w:type="auto"/>
            <w:tcBorders>
              <w:top w:val="nil"/>
              <w:left w:val="nil"/>
              <w:bottom w:val="single" w:color="000000" w:sz="4" w:space="0"/>
              <w:right w:val="nil"/>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35" w:hRule="atLeast"/>
        </w:trPr>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序号</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棚户区名称</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棚户区所在市县</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隶属行业</w:t>
            </w:r>
          </w:p>
        </w:tc>
        <w:tc>
          <w:tcPr>
            <w:tcW w:w="1710"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原所属企业情况</w:t>
            </w:r>
          </w:p>
        </w:tc>
        <w:tc>
          <w:tcPr>
            <w:tcW w:w="1710" w:type="dxa"/>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现所属企业情况</w:t>
            </w:r>
          </w:p>
        </w:tc>
        <w:tc>
          <w:tcPr>
            <w:tcW w:w="3420" w:type="dxa"/>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棚户区基本情况</w:t>
            </w:r>
          </w:p>
        </w:tc>
        <w:tc>
          <w:tcPr>
            <w:tcW w:w="3420" w:type="dxa"/>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截至201</w:t>
            </w:r>
            <w:r>
              <w:rPr>
                <w:rStyle w:val="8"/>
                <w:bdr w:val="none" w:color="auto" w:sz="0" w:space="0"/>
                <w:lang w:val="en-US" w:eastAsia="zh-CN" w:bidi="ar"/>
              </w:rPr>
              <w:t>2年底已改造情况</w:t>
            </w:r>
          </w:p>
        </w:tc>
        <w:tc>
          <w:tcPr>
            <w:tcW w:w="2280"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2013-2015年改造规划</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71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71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710"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城市规划区内</w:t>
            </w:r>
          </w:p>
        </w:tc>
        <w:tc>
          <w:tcPr>
            <w:tcW w:w="1710"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城市规划区外</w:t>
            </w:r>
          </w:p>
        </w:tc>
        <w:tc>
          <w:tcPr>
            <w:tcW w:w="1710"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城市规划区内</w:t>
            </w:r>
          </w:p>
        </w:tc>
        <w:tc>
          <w:tcPr>
            <w:tcW w:w="1710"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城市规划区外</w:t>
            </w:r>
          </w:p>
        </w:tc>
        <w:tc>
          <w:tcPr>
            <w:tcW w:w="114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城市规划区内</w:t>
            </w:r>
          </w:p>
        </w:tc>
        <w:tc>
          <w:tcPr>
            <w:tcW w:w="114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城市规划区外</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50" w:hRule="atLeast"/>
        </w:trPr>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71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1710" w:type="dxa"/>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（平方米）</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改造总投资（万元）</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面积</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（平方米）</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改造总投资</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（万元）</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114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114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完成投资（万元）</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规划投资</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（万元）</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（户）</w:t>
            </w:r>
          </w:p>
        </w:tc>
        <w:tc>
          <w:tcPr>
            <w:tcW w:w="57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规划投资</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（万元）</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470" w:hRule="atLeast"/>
        </w:trPr>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企业名称</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企业性质</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隶属关系</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企业名称</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企业性质</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隶属关系</w:t>
            </w: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b/>
                <w:bCs/>
                <w:i w:val="0"/>
                <w:iCs w:val="0"/>
                <w:color w:val="000000"/>
                <w:sz w:val="18"/>
                <w:szCs w:val="18"/>
                <w:u w:val="none"/>
              </w:rPr>
            </w:pPr>
          </w:p>
        </w:tc>
        <w:tc>
          <w:tcPr>
            <w:tcW w:w="570" w:type="dxa"/>
            <w:tcBorders>
              <w:top w:val="nil"/>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b/>
                <w:bCs/>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其中：中央财政专项资金</w:t>
            </w: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b/>
                <w:bCs/>
                <w:i w:val="0"/>
                <w:iCs w:val="0"/>
                <w:color w:val="000000"/>
                <w:sz w:val="18"/>
                <w:szCs w:val="18"/>
                <w:u w:val="none"/>
              </w:rPr>
            </w:pPr>
          </w:p>
        </w:tc>
        <w:tc>
          <w:tcPr>
            <w:tcW w:w="570" w:type="dxa"/>
            <w:tcBorders>
              <w:top w:val="nil"/>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b/>
                <w:bCs/>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其中：中央财政专项资金</w:t>
            </w: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70"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说明：</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8"/>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1、填写要求：一个改造项目或区片占一行。</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gridSpan w:val="14"/>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2、2015年前尚未作出改造规划的棚户区，可只填写到“棚户区基本情况”</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r>
    </w:tbl>
    <w:p/>
    <w:p/>
    <w:p/>
    <w:p/>
    <w:p/>
    <w:p/>
    <w:p/>
    <w:p/>
    <w:p/>
    <w:p/>
    <w:p/>
    <w:p/>
    <w:p/>
    <w:p/>
    <w:tbl>
      <w:tblPr>
        <w:tblW w:w="145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220"/>
        <w:gridCol w:w="510"/>
        <w:gridCol w:w="709"/>
        <w:gridCol w:w="1220"/>
        <w:gridCol w:w="222"/>
        <w:gridCol w:w="709"/>
        <w:gridCol w:w="765"/>
        <w:gridCol w:w="1020"/>
        <w:gridCol w:w="765"/>
        <w:gridCol w:w="765"/>
        <w:gridCol w:w="765"/>
        <w:gridCol w:w="765"/>
        <w:gridCol w:w="819"/>
        <w:gridCol w:w="765"/>
        <w:gridCol w:w="765"/>
        <w:gridCol w:w="1220"/>
        <w:gridCol w:w="765"/>
        <w:gridCol w:w="765"/>
        <w:gridCol w:w="7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4590" w:type="dxa"/>
            <w:gridSpan w:val="6"/>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附件7：</w:t>
            </w: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6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0" w:type="auto"/>
            <w:gridSpan w:val="19"/>
            <w:tcBorders>
              <w:top w:val="nil"/>
              <w:left w:val="nil"/>
              <w:bottom w:val="nil"/>
              <w:right w:val="nil"/>
            </w:tcBorders>
            <w:shd w:val="clear"/>
            <w:noWrap/>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国有林区棚户区和国有林场危旧房改造情况调查表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0" w:hRule="atLeast"/>
        </w:trPr>
        <w:tc>
          <w:tcPr>
            <w:tcW w:w="0" w:type="auto"/>
            <w:tcBorders>
              <w:top w:val="nil"/>
              <w:left w:val="nil"/>
              <w:bottom w:val="single" w:color="000000" w:sz="4" w:space="0"/>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填报单位：</w:t>
            </w:r>
          </w:p>
        </w:tc>
        <w:tc>
          <w:tcPr>
            <w:tcW w:w="0" w:type="auto"/>
            <w:tcBorders>
              <w:top w:val="nil"/>
              <w:left w:val="nil"/>
              <w:bottom w:val="single" w:color="000000" w:sz="4" w:space="0"/>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gridSpan w:val="6"/>
            <w:tcBorders>
              <w:top w:val="nil"/>
              <w:left w:val="nil"/>
              <w:bottom w:val="single" w:color="000000" w:sz="4" w:space="0"/>
              <w:right w:val="nil"/>
            </w:tcBorders>
            <w:shd w:val="clear"/>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单位：户、万元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76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仿宋" w:hAnsi="仿宋" w:eastAsia="仿宋" w:cs="仿宋"/>
                <w:b/>
                <w:bCs/>
                <w:i w:val="0"/>
                <w:iCs w:val="0"/>
                <w:color w:val="000000"/>
                <w:sz w:val="18"/>
                <w:szCs w:val="18"/>
                <w:u w:val="none"/>
              </w:rPr>
            </w:pPr>
            <w:r>
              <w:rPr>
                <w:rFonts w:hint="eastAsia" w:ascii="仿宋" w:hAnsi="仿宋" w:eastAsia="仿宋" w:cs="仿宋"/>
                <w:b/>
                <w:bCs/>
                <w:i w:val="0"/>
                <w:iCs w:val="0"/>
                <w:color w:val="000000"/>
                <w:kern w:val="0"/>
                <w:sz w:val="18"/>
                <w:szCs w:val="18"/>
                <w:u w:val="none"/>
                <w:bdr w:val="none" w:color="auto" w:sz="0" w:space="0"/>
                <w:lang w:val="en-US" w:eastAsia="zh-CN" w:bidi="ar"/>
              </w:rPr>
              <w:t>序号</w:t>
            </w:r>
          </w:p>
        </w:tc>
        <w:tc>
          <w:tcPr>
            <w:tcW w:w="76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单位</w:t>
            </w:r>
          </w:p>
        </w:tc>
        <w:tc>
          <w:tcPr>
            <w:tcW w:w="76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地点（落实到具体县、市）</w:t>
            </w:r>
          </w:p>
        </w:tc>
        <w:tc>
          <w:tcPr>
            <w:tcW w:w="6885" w:type="dxa"/>
            <w:gridSpan w:val="9"/>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截至2012年底已改造情况</w:t>
            </w:r>
          </w:p>
        </w:tc>
        <w:tc>
          <w:tcPr>
            <w:tcW w:w="0" w:type="auto"/>
            <w:gridSpan w:val="6"/>
            <w:tcBorders>
              <w:top w:val="single" w:color="000000" w:sz="4" w:space="0"/>
              <w:left w:val="single" w:color="000000" w:sz="4" w:space="0"/>
              <w:bottom w:val="single" w:color="000000" w:sz="4" w:space="0"/>
              <w:right w:val="nil"/>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2013—2015年规划改造任务</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229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合计</w:t>
            </w:r>
          </w:p>
        </w:tc>
        <w:tc>
          <w:tcPr>
            <w:tcW w:w="229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棚户区改造</w:t>
            </w:r>
          </w:p>
        </w:tc>
        <w:tc>
          <w:tcPr>
            <w:tcW w:w="2295"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危旧房改造</w:t>
            </w:r>
          </w:p>
        </w:tc>
        <w:tc>
          <w:tcPr>
            <w:tcW w:w="153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合计</w:t>
            </w:r>
          </w:p>
        </w:tc>
        <w:tc>
          <w:tcPr>
            <w:tcW w:w="1530" w:type="dxa"/>
            <w:gridSpan w:val="2"/>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国有林区棚户区改造</w:t>
            </w:r>
          </w:p>
        </w:tc>
        <w:tc>
          <w:tcPr>
            <w:tcW w:w="1530" w:type="dxa"/>
            <w:gridSpan w:val="2"/>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国有林场危旧房改造</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p>
        </w:tc>
        <w:tc>
          <w:tcPr>
            <w:tcW w:w="1530" w:type="dxa"/>
            <w:gridSpan w:val="2"/>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w:t>
            </w:r>
          </w:p>
        </w:tc>
        <w:tc>
          <w:tcPr>
            <w:tcW w:w="765"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p>
        </w:tc>
        <w:tc>
          <w:tcPr>
            <w:tcW w:w="1530" w:type="dxa"/>
            <w:gridSpan w:val="2"/>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w:t>
            </w:r>
          </w:p>
        </w:tc>
        <w:tc>
          <w:tcPr>
            <w:tcW w:w="765"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p>
        </w:tc>
        <w:tc>
          <w:tcPr>
            <w:tcW w:w="153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完成投资</w:t>
            </w:r>
          </w:p>
        </w:tc>
        <w:tc>
          <w:tcPr>
            <w:tcW w:w="76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p>
        </w:tc>
        <w:tc>
          <w:tcPr>
            <w:tcW w:w="765" w:type="dxa"/>
            <w:vMerge w:val="restart"/>
            <w:tcBorders>
              <w:top w:val="single" w:color="000000" w:sz="4" w:space="0"/>
              <w:left w:val="single" w:color="000000" w:sz="4" w:space="0"/>
              <w:bottom w:val="nil"/>
              <w:right w:val="nil"/>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规划</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投资</w:t>
            </w:r>
          </w:p>
        </w:tc>
        <w:tc>
          <w:tcPr>
            <w:tcW w:w="765"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p>
        </w:tc>
        <w:tc>
          <w:tcPr>
            <w:tcW w:w="765" w:type="dxa"/>
            <w:vMerge w:val="restart"/>
            <w:tcBorders>
              <w:top w:val="single" w:color="000000" w:sz="4" w:space="0"/>
              <w:left w:val="single" w:color="000000" w:sz="4" w:space="0"/>
              <w:bottom w:val="nil"/>
              <w:right w:val="nil"/>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规划</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投资</w:t>
            </w:r>
          </w:p>
        </w:tc>
        <w:tc>
          <w:tcPr>
            <w:tcW w:w="765" w:type="dxa"/>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户数</w:t>
            </w:r>
          </w:p>
        </w:tc>
        <w:tc>
          <w:tcPr>
            <w:tcW w:w="765" w:type="dxa"/>
            <w:vMerge w:val="restart"/>
            <w:tcBorders>
              <w:top w:val="single" w:color="000000" w:sz="4" w:space="0"/>
              <w:left w:val="single" w:color="000000" w:sz="4" w:space="0"/>
              <w:bottom w:val="nil"/>
              <w:right w:val="nil"/>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规划</w:t>
            </w:r>
            <w:r>
              <w:rPr>
                <w:rFonts w:hint="eastAsia" w:ascii="宋体" w:hAnsi="宋体" w:eastAsia="宋体" w:cs="宋体"/>
                <w:b/>
                <w:bCs/>
                <w:i w:val="0"/>
                <w:iCs w:val="0"/>
                <w:color w:val="000000"/>
                <w:kern w:val="0"/>
                <w:sz w:val="18"/>
                <w:szCs w:val="18"/>
                <w:u w:val="none"/>
                <w:bdr w:val="none" w:color="auto" w:sz="0" w:space="0"/>
                <w:lang w:val="en-US" w:eastAsia="zh-CN" w:bidi="ar"/>
              </w:rPr>
              <w:br w:type="textWrapping"/>
            </w:r>
            <w:r>
              <w:rPr>
                <w:rFonts w:hint="eastAsia" w:ascii="宋体" w:hAnsi="宋体" w:eastAsia="宋体" w:cs="宋体"/>
                <w:b/>
                <w:bCs/>
                <w:i w:val="0"/>
                <w:iCs w:val="0"/>
                <w:color w:val="000000"/>
                <w:kern w:val="0"/>
                <w:sz w:val="18"/>
                <w:szCs w:val="18"/>
                <w:u w:val="none"/>
                <w:bdr w:val="none" w:color="auto" w:sz="0" w:space="0"/>
                <w:lang w:val="en-US" w:eastAsia="zh-CN" w:bidi="ar"/>
              </w:rPr>
              <w:t>投资</w:t>
            </w: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65" w:hRule="atLeast"/>
        </w:trPr>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其中：中央预算内</w:t>
            </w:r>
          </w:p>
        </w:tc>
        <w:tc>
          <w:tcPr>
            <w:tcW w:w="76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其中：中央预算内</w:t>
            </w:r>
          </w:p>
        </w:tc>
        <w:tc>
          <w:tcPr>
            <w:tcW w:w="76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bdr w:val="none" w:color="auto" w:sz="0" w:space="0"/>
                <w:lang w:val="en-US" w:eastAsia="zh-CN" w:bidi="ar"/>
              </w:rPr>
              <w:t>其中：中央预算内</w:t>
            </w:r>
          </w:p>
        </w:tc>
        <w:tc>
          <w:tcPr>
            <w:tcW w:w="76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b/>
                <w:bCs/>
                <w:i w:val="0"/>
                <w:iCs w:val="0"/>
                <w:color w:val="000000"/>
                <w:sz w:val="18"/>
                <w:szCs w:val="18"/>
                <w:u w:val="none"/>
              </w:rPr>
            </w:pPr>
          </w:p>
        </w:tc>
        <w:tc>
          <w:tcPr>
            <w:tcW w:w="765" w:type="dxa"/>
            <w:vMerge w:val="continue"/>
            <w:tcBorders>
              <w:top w:val="single" w:color="000000" w:sz="4" w:space="0"/>
              <w:left w:val="single" w:color="000000" w:sz="4" w:space="0"/>
              <w:bottom w:val="nil"/>
              <w:right w:val="nil"/>
            </w:tcBorders>
            <w:shd w:val="clear"/>
            <w:vAlign w:val="center"/>
          </w:tcPr>
          <w:p>
            <w:pPr>
              <w:jc w:val="center"/>
              <w:rPr>
                <w:rFonts w:hint="eastAsia" w:ascii="宋体" w:hAnsi="宋体" w:eastAsia="宋体" w:cs="宋体"/>
                <w:b/>
                <w:bCs/>
                <w:i w:val="0"/>
                <w:iCs w:val="0"/>
                <w:color w:val="000000"/>
                <w:sz w:val="18"/>
                <w:szCs w:val="18"/>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r>
    </w:tbl>
    <w:p/>
    <w:p/>
    <w:p/>
    <w:p/>
    <w:p/>
    <w:p/>
    <w:p/>
    <w:p/>
    <w:p/>
    <w:p/>
    <w:p/>
    <w:p/>
    <w:p/>
    <w:p/>
    <w:p/>
    <w:p/>
    <w:p/>
    <w:p/>
    <w:p/>
    <w:tbl>
      <w:tblPr>
        <w:tblW w:w="1531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8042"/>
        <w:gridCol w:w="1115"/>
        <w:gridCol w:w="896"/>
        <w:gridCol w:w="896"/>
        <w:gridCol w:w="936"/>
        <w:gridCol w:w="815"/>
        <w:gridCol w:w="923"/>
        <w:gridCol w:w="735"/>
        <w:gridCol w:w="775"/>
        <w:gridCol w:w="909"/>
        <w:gridCol w:w="756"/>
        <w:gridCol w:w="641"/>
        <w:gridCol w:w="923"/>
        <w:gridCol w:w="788"/>
        <w:gridCol w:w="1115"/>
        <w:gridCol w:w="7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935" w:type="dxa"/>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bdr w:val="none" w:color="auto" w:sz="0" w:space="0"/>
                <w:lang w:val="en-US" w:eastAsia="zh-CN" w:bidi="ar"/>
              </w:rPr>
              <w:t>附件8：</w:t>
            </w:r>
          </w:p>
        </w:tc>
        <w:tc>
          <w:tcPr>
            <w:tcW w:w="97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97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97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930"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88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100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95"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840"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990" w:type="dxa"/>
            <w:tcBorders>
              <w:top w:val="nil"/>
              <w:left w:val="nil"/>
              <w:bottom w:val="nil"/>
              <w:right w:val="nil"/>
            </w:tcBorders>
            <w:shd w:val="clear"/>
            <w:noWrap/>
            <w:vAlign w:val="center"/>
          </w:tcPr>
          <w:p>
            <w:pPr>
              <w:rPr>
                <w:rFonts w:hint="eastAsia" w:ascii="宋体" w:hAnsi="宋体" w:eastAsia="宋体" w:cs="宋体"/>
                <w:i w:val="0"/>
                <w:iCs w:val="0"/>
                <w:color w:val="000000"/>
                <w:sz w:val="24"/>
                <w:szCs w:val="24"/>
                <w:u w:val="none"/>
              </w:rPr>
            </w:pPr>
          </w:p>
        </w:tc>
        <w:tc>
          <w:tcPr>
            <w:tcW w:w="750" w:type="dxa"/>
            <w:tcBorders>
              <w:top w:val="nil"/>
              <w:left w:val="nil"/>
              <w:bottom w:val="nil"/>
              <w:right w:val="nil"/>
            </w:tcBorders>
            <w:shd w:val="clear"/>
            <w:noWrap/>
            <w:vAlign w:val="center"/>
          </w:tcPr>
          <w:p>
            <w:pPr>
              <w:jc w:val="center"/>
              <w:rPr>
                <w:rFonts w:hint="eastAsia" w:ascii="宋体" w:hAnsi="宋体" w:eastAsia="宋体" w:cs="宋体"/>
                <w:i w:val="0"/>
                <w:iCs w:val="0"/>
                <w:color w:val="000000"/>
                <w:sz w:val="24"/>
                <w:szCs w:val="24"/>
                <w:u w:val="none"/>
              </w:rPr>
            </w:pPr>
          </w:p>
        </w:tc>
        <w:tc>
          <w:tcPr>
            <w:tcW w:w="690" w:type="dxa"/>
            <w:tcBorders>
              <w:top w:val="nil"/>
              <w:left w:val="nil"/>
              <w:bottom w:val="nil"/>
              <w:right w:val="nil"/>
            </w:tcBorders>
            <w:shd w:val="clear"/>
            <w:noWrap/>
            <w:vAlign w:val="center"/>
          </w:tcPr>
          <w:p>
            <w:pPr>
              <w:jc w:val="center"/>
              <w:rPr>
                <w:rFonts w:hint="eastAsia" w:ascii="宋体" w:hAnsi="宋体" w:eastAsia="宋体" w:cs="宋体"/>
                <w:i w:val="0"/>
                <w:iCs w:val="0"/>
                <w:color w:val="000000"/>
                <w:sz w:val="24"/>
                <w:szCs w:val="24"/>
                <w:u w:val="none"/>
              </w:rPr>
            </w:pPr>
          </w:p>
        </w:tc>
        <w:tc>
          <w:tcPr>
            <w:tcW w:w="1005" w:type="dxa"/>
            <w:tcBorders>
              <w:top w:val="nil"/>
              <w:left w:val="nil"/>
              <w:bottom w:val="nil"/>
              <w:right w:val="nil"/>
            </w:tcBorders>
            <w:shd w:val="clear"/>
            <w:noWrap/>
            <w:vAlign w:val="center"/>
          </w:tcPr>
          <w:p>
            <w:pPr>
              <w:jc w:val="center"/>
              <w:rPr>
                <w:rFonts w:hint="eastAsia" w:ascii="宋体" w:hAnsi="宋体" w:eastAsia="宋体" w:cs="宋体"/>
                <w:i w:val="0"/>
                <w:iCs w:val="0"/>
                <w:color w:val="000000"/>
                <w:sz w:val="24"/>
                <w:szCs w:val="24"/>
                <w:u w:val="none"/>
              </w:rPr>
            </w:pPr>
          </w:p>
        </w:tc>
        <w:tc>
          <w:tcPr>
            <w:tcW w:w="855" w:type="dxa"/>
            <w:tcBorders>
              <w:top w:val="nil"/>
              <w:left w:val="nil"/>
              <w:bottom w:val="nil"/>
              <w:right w:val="nil"/>
            </w:tcBorders>
            <w:shd w:val="clear"/>
            <w:noWrap/>
            <w:vAlign w:val="center"/>
          </w:tcPr>
          <w:p>
            <w:pPr>
              <w:jc w:val="center"/>
              <w:rPr>
                <w:rFonts w:hint="eastAsia" w:ascii="宋体" w:hAnsi="宋体" w:eastAsia="宋体" w:cs="宋体"/>
                <w:i w:val="0"/>
                <w:iCs w:val="0"/>
                <w:color w:val="000000"/>
                <w:sz w:val="24"/>
                <w:szCs w:val="24"/>
                <w:u w:val="none"/>
              </w:rPr>
            </w:pPr>
          </w:p>
        </w:tc>
        <w:tc>
          <w:tcPr>
            <w:tcW w:w="855" w:type="dxa"/>
            <w:tcBorders>
              <w:top w:val="nil"/>
              <w:left w:val="nil"/>
              <w:bottom w:val="nil"/>
              <w:right w:val="nil"/>
            </w:tcBorders>
            <w:shd w:val="clear"/>
            <w:noWrap/>
            <w:vAlign w:val="center"/>
          </w:tcPr>
          <w:p>
            <w:pPr>
              <w:jc w:val="center"/>
              <w:rPr>
                <w:rFonts w:hint="eastAsia" w:ascii="宋体" w:hAnsi="宋体" w:eastAsia="宋体" w:cs="宋体"/>
                <w:i w:val="0"/>
                <w:iCs w:val="0"/>
                <w:color w:val="000000"/>
                <w:sz w:val="24"/>
                <w:szCs w:val="24"/>
                <w:u w:val="none"/>
              </w:rPr>
            </w:pPr>
          </w:p>
        </w:tc>
        <w:tc>
          <w:tcPr>
            <w:tcW w:w="855" w:type="dxa"/>
            <w:tcBorders>
              <w:top w:val="nil"/>
              <w:left w:val="nil"/>
              <w:bottom w:val="nil"/>
              <w:right w:val="nil"/>
            </w:tcBorders>
            <w:shd w:val="clear"/>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gridSpan w:val="16"/>
            <w:tcBorders>
              <w:top w:val="nil"/>
              <w:left w:val="nil"/>
              <w:bottom w:val="nil"/>
              <w:right w:val="nil"/>
            </w:tcBorders>
            <w:shd w:val="clear"/>
            <w:noWrap/>
            <w:vAlign w:val="center"/>
          </w:tcPr>
          <w:p>
            <w:pPr>
              <w:keepNext w:val="0"/>
              <w:keepLines w:val="0"/>
              <w:widowControl/>
              <w:suppressLineNumbers w:val="0"/>
              <w:jc w:val="center"/>
              <w:textAlignment w:val="center"/>
              <w:rPr>
                <w:rFonts w:ascii="华文中宋" w:hAnsi="华文中宋" w:eastAsia="华文中宋" w:cs="华文中宋"/>
                <w:b/>
                <w:bCs/>
                <w:i w:val="0"/>
                <w:iCs w:val="0"/>
                <w:color w:val="000000"/>
                <w:sz w:val="40"/>
                <w:szCs w:val="40"/>
                <w:u w:val="none"/>
              </w:rPr>
            </w:pPr>
            <w:r>
              <w:rPr>
                <w:rFonts w:hint="eastAsia" w:ascii="华文中宋" w:hAnsi="华文中宋" w:eastAsia="华文中宋" w:cs="华文中宋"/>
                <w:b/>
                <w:bCs/>
                <w:i w:val="0"/>
                <w:iCs w:val="0"/>
                <w:color w:val="000000"/>
                <w:kern w:val="0"/>
                <w:sz w:val="40"/>
                <w:szCs w:val="40"/>
                <w:u w:val="none"/>
                <w:bdr w:val="none" w:color="auto" w:sz="0" w:space="0"/>
                <w:lang w:val="en-US" w:eastAsia="zh-CN" w:bidi="ar"/>
              </w:rPr>
              <w:t>国有垦区危房改造情况调查表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填报单位：</w:t>
            </w: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i w:val="0"/>
                <w:iCs w:val="0"/>
                <w:color w:val="000000"/>
                <w:sz w:val="20"/>
                <w:szCs w:val="20"/>
                <w:u w:val="none"/>
              </w:rPr>
            </w:pPr>
          </w:p>
        </w:tc>
        <w:tc>
          <w:tcPr>
            <w:tcW w:w="0" w:type="auto"/>
            <w:gridSpan w:val="3"/>
            <w:tcBorders>
              <w:top w:val="nil"/>
              <w:left w:val="nil"/>
              <w:bottom w:val="nil"/>
              <w:right w:val="nil"/>
            </w:tcBorders>
            <w:shd w:val="clear"/>
            <w:noWrap/>
            <w:vAlign w:val="top"/>
          </w:tcPr>
          <w:p>
            <w:pPr>
              <w:keepNext w:val="0"/>
              <w:keepLines w:val="0"/>
              <w:widowControl/>
              <w:suppressLineNumbers w:val="0"/>
              <w:jc w:val="right"/>
              <w:textAlignment w:val="top"/>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单位：人、户、万元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79"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单位</w:t>
            </w:r>
          </w:p>
        </w:tc>
        <w:tc>
          <w:tcPr>
            <w:tcW w:w="0" w:type="auto"/>
            <w:vMerge w:val="restar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总人口</w:t>
            </w:r>
          </w:p>
        </w:tc>
        <w:tc>
          <w:tcPr>
            <w:tcW w:w="97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总户数</w:t>
            </w:r>
          </w:p>
        </w:tc>
        <w:tc>
          <w:tcPr>
            <w:tcW w:w="97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危房</w:t>
            </w:r>
            <w:r>
              <w:rPr>
                <w:rFonts w:hint="eastAsia" w:ascii="宋体" w:hAnsi="宋体" w:eastAsia="宋体" w:cs="宋体"/>
                <w:b/>
                <w:bCs/>
                <w:i w:val="0"/>
                <w:iCs w:val="0"/>
                <w:color w:val="000000"/>
                <w:kern w:val="0"/>
                <w:sz w:val="20"/>
                <w:szCs w:val="20"/>
                <w:u w:val="none"/>
                <w:bdr w:val="none" w:color="auto" w:sz="0" w:space="0"/>
                <w:lang w:val="en-US" w:eastAsia="zh-CN" w:bidi="ar"/>
              </w:rPr>
              <w:br w:type="textWrapping"/>
            </w:r>
            <w:r>
              <w:rPr>
                <w:rFonts w:hint="eastAsia" w:ascii="宋体" w:hAnsi="宋体" w:eastAsia="宋体" w:cs="宋体"/>
                <w:b/>
                <w:bCs/>
                <w:i w:val="0"/>
                <w:iCs w:val="0"/>
                <w:color w:val="000000"/>
                <w:kern w:val="0"/>
                <w:sz w:val="20"/>
                <w:szCs w:val="20"/>
                <w:u w:val="none"/>
                <w:bdr w:val="none" w:color="auto" w:sz="0" w:space="0"/>
                <w:lang w:val="en-US" w:eastAsia="zh-CN" w:bidi="ar"/>
              </w:rPr>
              <w:t>总户数</w:t>
            </w:r>
          </w:p>
        </w:tc>
        <w:tc>
          <w:tcPr>
            <w:tcW w:w="2820" w:type="dxa"/>
            <w:gridSpan w:val="3"/>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已下达改造</w:t>
            </w:r>
            <w:r>
              <w:rPr>
                <w:rFonts w:hint="eastAsia" w:ascii="宋体" w:hAnsi="宋体" w:eastAsia="宋体" w:cs="宋体"/>
                <w:b/>
                <w:bCs/>
                <w:i w:val="0"/>
                <w:iCs w:val="0"/>
                <w:color w:val="000000"/>
                <w:kern w:val="0"/>
                <w:sz w:val="20"/>
                <w:szCs w:val="20"/>
                <w:u w:val="none"/>
                <w:bdr w:val="none" w:color="auto" w:sz="0" w:space="0"/>
                <w:lang w:val="en-US" w:eastAsia="zh-CN" w:bidi="ar"/>
              </w:rPr>
              <w:br w:type="textWrapping"/>
            </w:r>
            <w:r>
              <w:rPr>
                <w:rFonts w:hint="eastAsia" w:ascii="宋体" w:hAnsi="宋体" w:eastAsia="宋体" w:cs="宋体"/>
                <w:b/>
                <w:bCs/>
                <w:i w:val="0"/>
                <w:iCs w:val="0"/>
                <w:color w:val="000000"/>
                <w:kern w:val="0"/>
                <w:sz w:val="20"/>
                <w:szCs w:val="20"/>
                <w:u w:val="none"/>
                <w:bdr w:val="none" w:color="auto" w:sz="0" w:space="0"/>
                <w:lang w:val="en-US" w:eastAsia="zh-CN" w:bidi="ar"/>
              </w:rPr>
              <w:t>计划户数及完成投资</w:t>
            </w:r>
          </w:p>
        </w:tc>
        <w:tc>
          <w:tcPr>
            <w:tcW w:w="2625" w:type="dxa"/>
            <w:gridSpan w:val="3"/>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还需要改造危房户数及投资需求</w:t>
            </w:r>
          </w:p>
        </w:tc>
        <w:tc>
          <w:tcPr>
            <w:tcW w:w="2445" w:type="dxa"/>
            <w:gridSpan w:val="3"/>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2013年计划改造户数及投资需求</w:t>
            </w:r>
          </w:p>
        </w:tc>
        <w:tc>
          <w:tcPr>
            <w:tcW w:w="8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2014年计划改造户数</w:t>
            </w:r>
          </w:p>
        </w:tc>
        <w:tc>
          <w:tcPr>
            <w:tcW w:w="8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2015年计划改造户数</w:t>
            </w:r>
          </w:p>
        </w:tc>
        <w:tc>
          <w:tcPr>
            <w:tcW w:w="85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2015年以后计划改造户数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9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户数</w:t>
            </w:r>
          </w:p>
        </w:tc>
        <w:tc>
          <w:tcPr>
            <w:tcW w:w="189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完成投资</w:t>
            </w:r>
          </w:p>
        </w:tc>
        <w:tc>
          <w:tcPr>
            <w:tcW w:w="79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户数</w:t>
            </w:r>
          </w:p>
        </w:tc>
        <w:tc>
          <w:tcPr>
            <w:tcW w:w="1830"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规划投资</w:t>
            </w:r>
          </w:p>
        </w:tc>
        <w:tc>
          <w:tcPr>
            <w:tcW w:w="75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户数</w:t>
            </w:r>
          </w:p>
        </w:tc>
        <w:tc>
          <w:tcPr>
            <w:tcW w:w="1695"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规划投资</w:t>
            </w:r>
          </w:p>
        </w:tc>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7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9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885" w:type="dxa"/>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100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其中：中央投资</w:t>
            </w:r>
          </w:p>
        </w:tc>
        <w:tc>
          <w:tcPr>
            <w:tcW w:w="79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840" w:type="dxa"/>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990"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其中：中央投资</w:t>
            </w:r>
          </w:p>
        </w:tc>
        <w:tc>
          <w:tcPr>
            <w:tcW w:w="75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690" w:type="dxa"/>
            <w:tcBorders>
              <w:top w:val="nil"/>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1005" w:type="dxa"/>
            <w:tcBorders>
              <w:top w:val="nil"/>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其中：中央投资</w:t>
            </w:r>
          </w:p>
        </w:tc>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A</w:t>
            </w:r>
          </w:p>
        </w:tc>
        <w:tc>
          <w:tcPr>
            <w:tcW w:w="97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B</w:t>
            </w:r>
          </w:p>
        </w:tc>
        <w:tc>
          <w:tcPr>
            <w:tcW w:w="97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C</w:t>
            </w:r>
          </w:p>
        </w:tc>
        <w:tc>
          <w:tcPr>
            <w:tcW w:w="930"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D</w:t>
            </w:r>
          </w:p>
        </w:tc>
        <w:tc>
          <w:tcPr>
            <w:tcW w:w="88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F</w:t>
            </w:r>
          </w:p>
        </w:tc>
        <w:tc>
          <w:tcPr>
            <w:tcW w:w="100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G</w:t>
            </w:r>
          </w:p>
        </w:tc>
        <w:tc>
          <w:tcPr>
            <w:tcW w:w="79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H</w:t>
            </w:r>
          </w:p>
        </w:tc>
        <w:tc>
          <w:tcPr>
            <w:tcW w:w="840"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I</w:t>
            </w:r>
          </w:p>
        </w:tc>
        <w:tc>
          <w:tcPr>
            <w:tcW w:w="990"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J</w:t>
            </w:r>
          </w:p>
        </w:tc>
        <w:tc>
          <w:tcPr>
            <w:tcW w:w="750"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K</w:t>
            </w:r>
          </w:p>
        </w:tc>
        <w:tc>
          <w:tcPr>
            <w:tcW w:w="690"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L</w:t>
            </w:r>
          </w:p>
        </w:tc>
        <w:tc>
          <w:tcPr>
            <w:tcW w:w="100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M</w:t>
            </w:r>
          </w:p>
        </w:tc>
        <w:tc>
          <w:tcPr>
            <w:tcW w:w="85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N</w:t>
            </w:r>
          </w:p>
        </w:tc>
        <w:tc>
          <w:tcPr>
            <w:tcW w:w="85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O</w:t>
            </w:r>
          </w:p>
        </w:tc>
        <w:tc>
          <w:tcPr>
            <w:tcW w:w="855" w:type="dxa"/>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P</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垦区合计</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**农场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**农场</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**其他单位</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联系部门：</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联系人：</w:t>
            </w: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电话：</w:t>
            </w: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top"/>
          </w:tcPr>
          <w:p>
            <w:pPr>
              <w:jc w:val="left"/>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4"/>
                <w:szCs w:val="24"/>
                <w:u w:val="none"/>
              </w:rPr>
            </w:pPr>
          </w:p>
        </w:tc>
        <w:tc>
          <w:tcPr>
            <w:tcW w:w="0" w:type="auto"/>
            <w:tcBorders>
              <w:top w:val="nil"/>
              <w:left w:val="nil"/>
              <w:bottom w:val="nil"/>
              <w:right w:val="nil"/>
            </w:tcBorders>
            <w:shd w:val="clear"/>
            <w:noWrap/>
            <w:vAlign w:val="top"/>
          </w:tcPr>
          <w:p>
            <w:pPr>
              <w:keepNext w:val="0"/>
              <w:keepLines w:val="0"/>
              <w:widowControl/>
              <w:suppressLineNumbers w:val="0"/>
              <w:jc w:val="left"/>
              <w:textAlignment w:val="top"/>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填报日期：</w:t>
            </w: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注：1.总人口和总户数，指垦区（农场，含华侨农场）辖区内总人口和家庭户数。</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 xml:space="preserve">    2.危房总户数，指符合五部委联合发文（农垦发[2011]2号）规定的农垦危房户数。</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 xml:space="preserve">    3.已下达改造计划户数，指实施农垦危房改造以来到2012年底国家已经下达改造计划的户数。</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bdr w:val="none" w:color="auto" w:sz="0" w:space="0"/>
                <w:lang w:val="en-US" w:eastAsia="zh-CN" w:bidi="ar"/>
              </w:rPr>
              <w:t xml:space="preserve">    4.C=D+H；H=K+N+O+P</w:t>
            </w: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c>
          <w:tcPr>
            <w:tcW w:w="0" w:type="auto"/>
            <w:tcBorders>
              <w:top w:val="nil"/>
              <w:left w:val="nil"/>
              <w:bottom w:val="nil"/>
              <w:right w:val="nil"/>
            </w:tcBorders>
            <w:shd w:val="clear"/>
            <w:noWrap/>
            <w:vAlign w:val="center"/>
          </w:tcPr>
          <w:p>
            <w:pPr>
              <w:jc w:val="center"/>
              <w:rPr>
                <w:rFonts w:hint="eastAsia" w:ascii="宋体" w:hAnsi="宋体" w:eastAsia="宋体" w:cs="宋体"/>
                <w:b/>
                <w:bCs/>
                <w:i w:val="0"/>
                <w:iCs w:val="0"/>
                <w:color w:val="000000"/>
                <w:sz w:val="20"/>
                <w:szCs w:val="20"/>
                <w:u w:val="none"/>
              </w:rPr>
            </w:pPr>
          </w:p>
        </w:tc>
      </w:tr>
    </w:tbl>
    <w:p/>
    <w:p/>
    <w:p/>
    <w:p/>
    <w:p/>
    <w:p/>
    <w:sectPr>
      <w:pgSz w:w="23811" w:h="16838" w:orient="landscape"/>
      <w:pgMar w:top="1803" w:right="1440" w:bottom="1519" w:left="1440" w:header="851" w:footer="992" w:gutter="0"/>
      <w:paperSrc/>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362F7A"/>
    <w:rsid w:val="1A362F7A"/>
    <w:rsid w:val="20167D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6">
    <w:name w:val="font21"/>
    <w:basedOn w:val="5"/>
    <w:uiPriority w:val="0"/>
    <w:rPr>
      <w:rFonts w:hint="eastAsia" w:ascii="华文中宋" w:hAnsi="华文中宋" w:eastAsia="华文中宋" w:cs="华文中宋"/>
      <w:b/>
      <w:bCs/>
      <w:color w:val="000000"/>
      <w:sz w:val="32"/>
      <w:szCs w:val="32"/>
      <w:u w:val="none"/>
    </w:rPr>
  </w:style>
  <w:style w:type="character" w:customStyle="1" w:styleId="7">
    <w:name w:val="font51"/>
    <w:basedOn w:val="5"/>
    <w:uiPriority w:val="0"/>
    <w:rPr>
      <w:rFonts w:hint="eastAsia" w:ascii="华文中宋" w:hAnsi="华文中宋" w:eastAsia="华文中宋" w:cs="华文中宋"/>
      <w:b/>
      <w:bCs/>
      <w:color w:val="000000"/>
      <w:sz w:val="40"/>
      <w:szCs w:val="40"/>
      <w:u w:val="none"/>
    </w:rPr>
  </w:style>
  <w:style w:type="character" w:customStyle="1" w:styleId="8">
    <w:name w:val="font41"/>
    <w:basedOn w:val="5"/>
    <w:uiPriority w:val="0"/>
    <w:rPr>
      <w:rFonts w:hint="eastAsia" w:ascii="宋体" w:hAnsi="宋体" w:eastAsia="宋体" w:cs="宋体"/>
      <w:b/>
      <w:bCs/>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2893</Words>
  <Characters>2965</Characters>
  <Lines>0</Lines>
  <Paragraphs>0</Paragraphs>
  <TotalTime>25</TotalTime>
  <ScaleCrop>false</ScaleCrop>
  <LinksUpToDate>false</LinksUpToDate>
  <CharactersWithSpaces>3208</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2022-05-09T03:13:00Z</dcterms:created>
  <dc:creator>清风</dc:creator>
  <cp:lastModifiedBy>清风</cp:lastModifiedBy>
  <dcterms:modified xsi:type="dcterms:W3CDTF">2022-05-09T03:40:00Z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3A5DBB7FCF3E45B9A91A08D6CED50220</vt:lpwstr>
  </property>
</Properties>
</file>