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center"/>
        <w:rPr>
          <w:rFonts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市建委关于颁布《天津市历史风貌建筑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防火技术导则》的通知</w:t>
      </w:r>
    </w:p>
    <w:p>
      <w:pPr>
        <w:jc w:val="center"/>
        <w:rPr>
          <w:rFonts w:hint="eastAsia" w:ascii="微软雅黑" w:hAnsi="微软雅黑" w:eastAsia="微软雅黑" w:cs="微软雅黑"/>
          <w:sz w:val="23"/>
          <w:szCs w:val="23"/>
          <w:lang w:val="en-US" w:eastAsia="zh-CN"/>
        </w:rPr>
      </w:pPr>
      <w:r>
        <w:rPr>
          <w:rFonts w:hint="eastAsia" w:ascii="微软雅黑" w:hAnsi="微软雅黑" w:eastAsia="微软雅黑" w:cs="微软雅黑"/>
          <w:sz w:val="23"/>
          <w:szCs w:val="23"/>
        </w:rPr>
        <w:t>津建科[2017]174号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各有关单位：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为提高历史风貌建筑的消防安全性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能，预防火灾发生和减少火灾危害，保护历史风貌建筑、保护人身和财产安全，天津市公安局消防局和天津市建筑设计院等单位按照市建委《关于下达2011年天津市建设系统第一批工程建设地方标准编制计划的通知》（津科教〔2011〕997号）要求，编制完成了《天津市历史风貌建筑防火技术导则》。经市建委组织专家审定，现批准《天津市历史风貌建筑防火技术导则》自2017年8月1日起在我市实施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各有关单位在实施过程中如有不明之处及修改意见，请及时反馈给天津市公安局消防局、天津市建筑设计院。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本导则由天津市城乡建设委员会负责管理。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本导则由天津市公安局消防局、天津市建筑设计院负责具体技术内容的解释。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本导则由天津市建设工程技术研究所负责征订和发行，任何单位和个人不得翻印和复制。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1402" w:firstLine="42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2017年5月12日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（此件主动公开）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gxZDk5MzQyYTY3ZDNhZWRiNjYyNjE5ZmVlYWJlYWMifQ=="/>
  </w:docVars>
  <w:rsids>
    <w:rsidRoot w:val="56F55E83"/>
    <w:rsid w:val="56F55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2022-05-13T09:09:00Z</dcterms:created>
  <dc:creator>清风</dc:creator>
  <cp:lastModifiedBy>清风</cp:lastModifiedBy>
  <dcterms:modified xsi:type="dcterms:W3CDTF">2022-05-13T09:11:17Z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38B77C5A2E7E4345B7372F974FEBE0A7</vt:lpwstr>
  </property>
</Properties>
</file>