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center"/>
        <w:rPr>
          <w:rFonts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ascii="微软雅黑" w:hAnsi="微软雅黑" w:eastAsia="微软雅黑" w:cs="微软雅黑"/>
          <w:i w:val="0"/>
          <w:iCs w:val="0"/>
          <w:caps w:val="0"/>
          <w:color w:val="3D3D3D"/>
          <w:spacing w:val="0"/>
          <w:sz w:val="30"/>
          <w:szCs w:val="30"/>
          <w:bdr w:val="none" w:color="auto" w:sz="0" w:space="0"/>
          <w:shd w:val="clear" w:fill="FFFFFF"/>
        </w:rPr>
        <w:t>市建委关于发布《天津市历史风貌建筑保护修缮技术规程》的通知</w:t>
      </w:r>
    </w:p>
    <w:p>
      <w:pPr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津建设[2018]428号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各有关单位：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根据《市建委关于下达2015年天津市建设系统第一批工程建设地方标准编制计划的通知》（津建科〔2015〕286号）要求，天津市保护风貌建筑办公室等单位修订完成了《天津市历史风貌建筑保护修缮技术规程》，经市建委组织专家评审通过，现批准为天津市工程建设地方标准，编号为DB/T29-138-2018，自2018年11月1日起实施。原《天津市历史风貌建筑保护修缮技术规程》DB29-138-2005同时废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各相关单位在实施过程中如有不明之处及修改意见，请及时反馈给天津市保护风貌建筑办公室。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本规程由天津市城乡建设委员会负责管理。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本规程由天津市保护风貌建筑办公室负责具体技术内容的解释。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right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2018年8月31日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both"/>
        <w:rPr>
          <w:rFonts w:hint="default" w:ascii="仿宋_GB2312" w:eastAsia="仿宋_GB2312" w:cs="仿宋_GB2312"/>
          <w:i w:val="0"/>
          <w:iCs w:val="0"/>
          <w:caps w:val="0"/>
          <w:color w:val="3D3D3D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（此件主动公开）</w:t>
      </w: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xZDk5MzQyYTY3ZDNhZWRiNjYyNjE5ZmVlYWJlYWMifQ=="/>
  </w:docVars>
  <w:rsids>
    <w:rsidRoot w:val="326B2A50"/>
    <w:rsid w:val="326B2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2022-05-13T08:44:00Z</dcterms:created>
  <dc:creator>清风</dc:creator>
  <cp:lastModifiedBy>清风</cp:lastModifiedBy>
  <dcterms:modified xsi:type="dcterms:W3CDTF">2022-05-13T09:04:43Z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9900C6894BDC4DCAA709AC14D737A5ED</vt:lpwstr>
  </property>
</Properties>
</file>