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450" w:afterAutospacing="0" w:line="525" w:lineRule="atLeast"/>
        <w:ind w:left="0" w:right="0"/>
        <w:jc w:val="center"/>
        <w:rPr>
          <w:rFonts w:hint="eastAsia" w:ascii="微软雅黑" w:hAnsi="微软雅黑" w:eastAsia="微软雅黑" w:cs="微软雅黑"/>
          <w:b/>
          <w:bCs/>
          <w:color w:val="000000"/>
          <w:sz w:val="39"/>
          <w:szCs w:val="39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9"/>
          <w:szCs w:val="39"/>
          <w:bdr w:val="none" w:color="auto" w:sz="0" w:space="0"/>
          <w:shd w:val="clear" w:fill="FFFFFF"/>
        </w:rPr>
        <w:t>住房城乡建设部关于发布国家标准《仿古建筑工程工程量计算规范》的公告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95" w:afterAutospacing="0" w:line="285" w:lineRule="atLeast"/>
        <w:ind w:left="0" w:right="0"/>
        <w:jc w:val="center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t>中华人民共和国住房和城乡建设部公告第1571号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现批准《仿古建筑工程工程量计算规范》为国家标准，编号为GB50855-2013，自2013年7月1日起实施。其中，第1.0.3、4.2.1、4.2.2、4.2.3、4.2.4、4.2.5、4.2.6、4.3.1条（款）为强制性条文，必须严格执行。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本规范由我部标准定额研究所组织中国计划出版社出版发行。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526" w:beforeAutospacing="0" w:after="0" w:afterAutospacing="0" w:line="450" w:lineRule="atLeast"/>
        <w:ind w:left="0" w:right="0"/>
        <w:jc w:val="right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</w:t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中华人民共和国住房和城乡建设部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　　　　　　　　　　　　　　　　　　　　　　　　　　　　　　　　　　　　　　　2012年12月25日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4"/>
          <w:szCs w:val="24"/>
          <w:bdr w:val="none" w:color="auto" w:sz="0" w:space="0"/>
          <w:shd w:val="clear" w:fill="FFFFFF"/>
        </w:rPr>
        <w:t> 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ocialshar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37550F"/>
    <w:rsid w:val="2437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2022-05-10T03:40:00Z</dcterms:created>
  <dc:creator>清风</dc:creator>
  <cp:lastModifiedBy>清风</cp:lastModifiedBy>
  <dcterms:modified xsi:type="dcterms:W3CDTF">2022-05-10T03:41:49Z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31516F51E20C4145AB70B403059DC58F</vt:lpwstr>
  </property>
</Properties>
</file>