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570" w:beforeAutospacing="0" w:after="150" w:afterAutospacing="0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B01111"/>
          <w:spacing w:val="0"/>
          <w:sz w:val="48"/>
          <w:szCs w:val="48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B01111"/>
          <w:spacing w:val="0"/>
          <w:sz w:val="48"/>
          <w:szCs w:val="48"/>
          <w:bdr w:val="none" w:color="auto" w:sz="0" w:space="0"/>
          <w:shd w:val="clear" w:fill="FFFFFF"/>
        </w:rPr>
        <w:t>关于申报“文物消防安全百项工程”有关事项的通知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226" w:beforeAutospacing="0" w:after="0" w:afterAutospacing="0" w:line="450" w:lineRule="atLeast"/>
        <w:ind w:left="0" w:right="0"/>
        <w:jc w:val="center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文物督函〔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2014〕177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226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各省、自治区、直辖市文物局（文化厅）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,新疆生产建设兵团文物局：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226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为集中解决古城、古镇、古村落和古建筑群火灾隐患突出、消防施设落后等问题，全力增强文物单位火灾防范能力，遏制火灾事故发生，根据《关于印发〈国家文物局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2014年工作要点〉和〈国家文物局2014年重点工作任务分工方案〉的通知》（文物政发[2014]3号），我局将选择100处古城、古镇、古村落和古建筑群，集中实施文物消防设施建设工程。现将有关事项通知如下：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一、实施目的。通过实施“文物消防安全百项工程”，切实解决一批火灾风险较大的古城、古镇、古村落及古建筑群火灾防范基础设施保障问题，指导督促当地管理部门加强消防安全管理，整体提升火灾防控能力和水平。同时，在工程建设中总结归纳各类文物建筑消防系统技术应用、工程实施要求和消防安全管理经验，为编制相关技术和管理标准规范奠定基础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二、申报范围。要对拟申报单位进行火灾风险分析评估，凡属火灾风险性大，尚未建设消防系统，或者现有消防系统陈旧且不符合消防规范要求与防火实际需求的，可依程序申报，具体范围为：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（一）整体为全国重点文物保护单位的古城、古镇、古村落和古建筑群；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（二）以全国重点文物保护单位为主体组成部分的古城、古镇、古村落和古建筑群。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226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二、申报程序。各省级文物行政部门根据实际需要和申报范围确定拟申报单位，填报“文物消防安全百项工程”申报表，于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2014年3月底前报我局评审确定。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226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三、工程实施。我局将根据确定的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100处单位具体情况，突出重点、统筹安排，自2014年起每年重点支持20处到30处，用三到五年时间完成“文物消防安全百项工程”。实施“文物消防安全百项工程”，其消防工程方案的设计单位应当具有相关主管部门认定的资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请各地高度重视申报工作，精心组织，按时报送，并切实做好工程实施各项工作。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特此通知。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vanish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联系人：常金国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226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联系电话：010-56792061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vanish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226" w:beforeAutospacing="0" w:after="0" w:afterAutospacing="0" w:line="450" w:lineRule="atLeast"/>
        <w:ind w:left="0" w:right="0"/>
        <w:jc w:val="lef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附件：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EE"/>
          <w:spacing w:val="0"/>
          <w:sz w:val="21"/>
          <w:szCs w:val="21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EE"/>
          <w:spacing w:val="0"/>
          <w:sz w:val="21"/>
          <w:szCs w:val="21"/>
          <w:u w:val="none"/>
          <w:bdr w:val="none" w:color="auto" w:sz="0" w:space="0"/>
          <w:shd w:val="clear" w:fill="FFFFFF"/>
        </w:rPr>
        <w:instrText xml:space="preserve"> HYPERLINK "http://gl.ncha.gov.cn:9997/portal/infopening/article/download?id=8280818370c955040170c9572eb10121"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EE"/>
          <w:spacing w:val="0"/>
          <w:sz w:val="21"/>
          <w:szCs w:val="21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0000EE"/>
          <w:spacing w:val="0"/>
          <w:sz w:val="21"/>
          <w:szCs w:val="21"/>
          <w:u w:val="none"/>
          <w:bdr w:val="none" w:color="auto" w:sz="0" w:space="0"/>
          <w:shd w:val="clear" w:fill="FFFFFF"/>
        </w:rPr>
        <w:t>文物消防安全百项工程申报表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EE"/>
          <w:spacing w:val="0"/>
          <w:sz w:val="21"/>
          <w:szCs w:val="21"/>
          <w:u w:val="none"/>
          <w:bdr w:val="none" w:color="auto" w:sz="0" w:space="0"/>
          <w:shd w:val="clear" w:fill="FFFFFF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vanish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0"/>
        <w:jc w:val="left"/>
        <w:rPr>
          <w:vanish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vanish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300"/>
        <w:jc w:val="righ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国家文物局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450" w:lineRule="atLeast"/>
        <w:ind w:left="0" w:right="300"/>
        <w:jc w:val="righ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2014年03月10日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CC5EB4"/>
    <w:rsid w:val="73CC5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2022-05-11T03:19:00Z</dcterms:created>
  <dc:creator>清风</dc:creator>
  <cp:lastModifiedBy>清风</cp:lastModifiedBy>
  <dcterms:modified xsi:type="dcterms:W3CDTF">2022-05-11T03:23:40Z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D3F0AB7B3A274205BF0E296B68F54D04</vt:lpwstr>
  </property>
</Properties>
</file>