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34DB" w:rsidRPr="005C34DB" w:rsidRDefault="005C34DB" w:rsidP="005C34DB">
      <w:pPr>
        <w:widowControl/>
        <w:shd w:val="clear" w:color="auto" w:fill="FFFFFF"/>
        <w:spacing w:before="100" w:beforeAutospacing="1" w:after="100" w:afterAutospacing="1" w:line="720" w:lineRule="atLeast"/>
        <w:jc w:val="center"/>
        <w:rPr>
          <w:rFonts w:ascii="宋体" w:eastAsia="宋体" w:hAnsi="宋体" w:cs="宋体"/>
          <w:color w:val="333333"/>
          <w:kern w:val="0"/>
          <w:sz w:val="24"/>
          <w:szCs w:val="24"/>
        </w:rPr>
      </w:pPr>
      <w:r w:rsidRPr="005C34DB">
        <w:rPr>
          <w:rFonts w:ascii="方正小标宋简体" w:eastAsia="方正小标宋简体" w:hAnsi="宋体" w:cs="宋体" w:hint="eastAsia"/>
          <w:color w:val="FF0000"/>
          <w:spacing w:val="20"/>
          <w:kern w:val="0"/>
          <w:sz w:val="62"/>
          <w:szCs w:val="62"/>
        </w:rPr>
        <w:t>天津市城乡建设委员会文件</w:t>
      </w:r>
    </w:p>
    <w:p w:rsidR="005C34DB" w:rsidRPr="005C34DB" w:rsidRDefault="005C34DB" w:rsidP="005C34DB">
      <w:pPr>
        <w:widowControl/>
        <w:shd w:val="clear" w:color="auto" w:fill="FFFFFF"/>
        <w:spacing w:before="100" w:beforeAutospacing="1" w:after="100" w:afterAutospacing="1" w:line="640" w:lineRule="atLeast"/>
        <w:jc w:val="center"/>
        <w:rPr>
          <w:rFonts w:ascii="宋体" w:eastAsia="宋体" w:hAnsi="宋体" w:cs="宋体"/>
          <w:color w:val="333333"/>
          <w:kern w:val="0"/>
          <w:sz w:val="24"/>
          <w:szCs w:val="24"/>
        </w:rPr>
      </w:pPr>
      <w:r w:rsidRPr="005C34DB">
        <w:rPr>
          <w:rFonts w:ascii="仿宋_GB2312" w:eastAsia="仿宋_GB2312" w:hAnsi="宋体" w:cs="宋体" w:hint="eastAsia"/>
          <w:color w:val="333333"/>
          <w:kern w:val="0"/>
          <w:sz w:val="24"/>
          <w:szCs w:val="24"/>
        </w:rPr>
        <w:t>津建发〔</w:t>
      </w:r>
      <w:r w:rsidRPr="005C34DB">
        <w:rPr>
          <w:rFonts w:ascii="宋体" w:eastAsia="宋体" w:hAnsi="宋体" w:cs="宋体"/>
          <w:color w:val="333333"/>
          <w:kern w:val="0"/>
          <w:sz w:val="24"/>
          <w:szCs w:val="24"/>
        </w:rPr>
        <w:t>2018</w:t>
      </w:r>
      <w:r w:rsidRPr="005C34DB">
        <w:rPr>
          <w:rFonts w:ascii="仿宋_GB2312" w:eastAsia="仿宋_GB2312" w:hAnsi="宋体" w:cs="宋体" w:hint="eastAsia"/>
          <w:color w:val="333333"/>
          <w:kern w:val="0"/>
          <w:sz w:val="24"/>
          <w:szCs w:val="24"/>
        </w:rPr>
        <w:t>〕</w:t>
      </w:r>
      <w:r w:rsidRPr="005C34DB">
        <w:rPr>
          <w:rFonts w:ascii="宋体" w:eastAsia="宋体" w:hAnsi="宋体" w:cs="宋体"/>
          <w:color w:val="333333"/>
          <w:kern w:val="0"/>
          <w:sz w:val="24"/>
          <w:szCs w:val="24"/>
        </w:rPr>
        <w:t>9</w:t>
      </w:r>
      <w:r w:rsidRPr="005C34DB">
        <w:rPr>
          <w:rFonts w:ascii="仿宋_GB2312" w:eastAsia="仿宋_GB2312" w:hAnsi="宋体" w:cs="宋体" w:hint="eastAsia"/>
          <w:color w:val="333333"/>
          <w:kern w:val="0"/>
          <w:sz w:val="24"/>
          <w:szCs w:val="24"/>
        </w:rPr>
        <w:t>号</w:t>
      </w:r>
    </w:p>
    <w:p w:rsidR="005C34DB" w:rsidRPr="005C34DB" w:rsidRDefault="005C34DB" w:rsidP="005C34DB">
      <w:pPr>
        <w:widowControl/>
        <w:shd w:val="clear" w:color="auto" w:fill="FFFFFF"/>
        <w:spacing w:before="100" w:beforeAutospacing="1" w:after="100" w:afterAutospacing="1" w:line="600" w:lineRule="exact"/>
        <w:jc w:val="center"/>
        <w:rPr>
          <w:rFonts w:ascii="宋体" w:eastAsia="宋体" w:hAnsi="宋体" w:cs="宋体"/>
          <w:color w:val="333333"/>
          <w:kern w:val="0"/>
          <w:sz w:val="24"/>
          <w:szCs w:val="24"/>
        </w:rPr>
      </w:pPr>
      <w:r w:rsidRPr="005C34DB">
        <w:rPr>
          <w:rFonts w:ascii="方正小标宋简体" w:eastAsia="方正小标宋简体" w:hAnsi="宋体" w:cs="宋体" w:hint="eastAsia"/>
          <w:color w:val="333333"/>
          <w:kern w:val="0"/>
          <w:sz w:val="44"/>
          <w:szCs w:val="44"/>
        </w:rPr>
        <w:t>市建委关于印发《天津市房屋建筑和市政基础设施工程危险性较大的分部分项工程安全管理办法》的通知</w:t>
      </w:r>
    </w:p>
    <w:p w:rsidR="005C34DB" w:rsidRPr="005C34DB" w:rsidRDefault="005C34DB" w:rsidP="005C34DB">
      <w:pPr>
        <w:widowControl/>
        <w:shd w:val="clear" w:color="auto" w:fill="FFFFFF"/>
        <w:spacing w:before="100" w:beforeAutospacing="1" w:after="100" w:afterAutospacing="1" w:line="600" w:lineRule="exact"/>
        <w:jc w:val="left"/>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滨海新区建交局、各区建委、海河教育园经建局，各区质安支队，各有关单位：</w:t>
      </w:r>
    </w:p>
    <w:p w:rsidR="005C34DB" w:rsidRPr="005C34DB" w:rsidRDefault="005C34DB" w:rsidP="005C34DB">
      <w:pPr>
        <w:widowControl/>
        <w:shd w:val="clear" w:color="auto" w:fill="FFFFFF"/>
        <w:spacing w:before="100" w:beforeAutospacing="1" w:after="100" w:afterAutospacing="1" w:line="600" w:lineRule="exact"/>
        <w:ind w:firstLine="660"/>
        <w:jc w:val="left"/>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为了贯彻实施《危险性较大的分部分项工程安全管理规定》（住房城乡建设部令37号），进一步加强和规范我市房屋建筑和市政基础设施工程中危险性较大的分部分项工程安全管理，结合我市实际情况，特制定</w:t>
      </w:r>
      <w:r w:rsidRPr="005C34DB">
        <w:rPr>
          <w:rFonts w:ascii="仿宋_GB2312" w:eastAsia="仿宋_GB2312" w:hAnsi="宋体" w:cs="宋体" w:hint="eastAsia"/>
          <w:color w:val="333333"/>
          <w:kern w:val="0"/>
          <w:sz w:val="32"/>
          <w:szCs w:val="32"/>
        </w:rPr>
        <w:t>《天津市房屋建筑和市政基础设施工程危险性较大的分部分项工程安全管理办法》</w:t>
      </w:r>
      <w:r w:rsidRPr="005C34DB">
        <w:rPr>
          <w:rFonts w:ascii="仿宋_GB2312" w:eastAsia="仿宋_GB2312" w:hAnsi="宋体" w:cs="宋体" w:hint="eastAsia"/>
          <w:color w:val="000000"/>
          <w:kern w:val="0"/>
          <w:sz w:val="32"/>
          <w:szCs w:val="32"/>
        </w:rPr>
        <w:t>。现予以印发，请认真遵照执行。</w:t>
      </w:r>
    </w:p>
    <w:p w:rsidR="005C34DB" w:rsidRPr="005C34DB" w:rsidRDefault="005C34DB" w:rsidP="005C34DB">
      <w:pPr>
        <w:widowControl/>
        <w:shd w:val="clear" w:color="auto" w:fill="FFFFFF"/>
        <w:spacing w:before="100" w:beforeAutospacing="1" w:after="100" w:afterAutospacing="1" w:line="600" w:lineRule="exact"/>
        <w:ind w:firstLine="630"/>
        <w:jc w:val="right"/>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 </w:t>
      </w:r>
    </w:p>
    <w:p w:rsidR="005C34DB" w:rsidRPr="005C34DB" w:rsidRDefault="005C34DB" w:rsidP="005C34DB">
      <w:pPr>
        <w:widowControl/>
        <w:shd w:val="clear" w:color="auto" w:fill="FFFFFF"/>
        <w:spacing w:before="100" w:beforeAutospacing="1" w:after="100" w:afterAutospacing="1" w:line="600" w:lineRule="exact"/>
        <w:ind w:right="685" w:firstLine="630"/>
        <w:jc w:val="right"/>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2018年10月18日</w:t>
      </w:r>
    </w:p>
    <w:p w:rsidR="005C34DB" w:rsidRPr="005C34DB" w:rsidRDefault="005C34DB" w:rsidP="005C34DB">
      <w:pPr>
        <w:widowControl/>
        <w:shd w:val="clear" w:color="auto" w:fill="FFFFFF"/>
        <w:tabs>
          <w:tab w:val="left" w:pos="629"/>
        </w:tabs>
        <w:spacing w:before="100" w:beforeAutospacing="1" w:after="100" w:afterAutospacing="1" w:line="600" w:lineRule="exact"/>
        <w:rPr>
          <w:rFonts w:ascii="宋体" w:eastAsia="宋体" w:hAnsi="宋体" w:cs="宋体"/>
          <w:color w:val="333333"/>
          <w:kern w:val="0"/>
          <w:sz w:val="32"/>
          <w:szCs w:val="32"/>
        </w:rPr>
      </w:pPr>
      <w:r w:rsidRPr="005C34DB">
        <w:rPr>
          <w:rFonts w:ascii="宋体" w:eastAsia="宋体" w:hAnsi="宋体" w:cs="宋体"/>
          <w:color w:val="333333"/>
          <w:kern w:val="0"/>
          <w:sz w:val="32"/>
          <w:szCs w:val="32"/>
        </w:rPr>
        <w:t xml:space="preserve">        </w:t>
      </w:r>
      <w:r w:rsidRPr="005C34DB">
        <w:rPr>
          <w:rFonts w:ascii="仿宋_GB2312" w:eastAsia="仿宋_GB2312" w:hAnsi="宋体" w:cs="宋体" w:hint="eastAsia"/>
          <w:color w:val="333333"/>
          <w:kern w:val="0"/>
          <w:sz w:val="32"/>
          <w:szCs w:val="32"/>
        </w:rPr>
        <w:t>（此件主动公开）</w:t>
      </w:r>
    </w:p>
    <w:p w:rsidR="005C34DB" w:rsidRPr="005C34DB" w:rsidRDefault="005C34DB" w:rsidP="005C34DB">
      <w:pPr>
        <w:widowControl/>
        <w:shd w:val="clear" w:color="auto" w:fill="FFFFFF"/>
        <w:spacing w:before="100" w:beforeAutospacing="1" w:after="100" w:afterAutospacing="1" w:line="700" w:lineRule="atLeast"/>
        <w:jc w:val="center"/>
        <w:rPr>
          <w:rFonts w:ascii="宋体" w:eastAsia="宋体" w:hAnsi="宋体" w:cs="宋体"/>
          <w:color w:val="333333"/>
          <w:kern w:val="0"/>
          <w:sz w:val="24"/>
          <w:szCs w:val="24"/>
        </w:rPr>
      </w:pPr>
      <w:r w:rsidRPr="005C34DB">
        <w:rPr>
          <w:rFonts w:ascii="Times New Roman" w:eastAsia="仿宋_GB2312" w:hAnsi="Times New Roman" w:cs="Times New Roman"/>
          <w:color w:val="333333"/>
          <w:kern w:val="0"/>
          <w:sz w:val="32"/>
          <w:szCs w:val="32"/>
        </w:rPr>
        <w:br w:type="page"/>
      </w:r>
      <w:r w:rsidRPr="005C34DB">
        <w:rPr>
          <w:rFonts w:ascii="宋体" w:eastAsia="宋体" w:hAnsi="宋体" w:cs="宋体"/>
          <w:color w:val="333333"/>
          <w:kern w:val="0"/>
          <w:sz w:val="24"/>
          <w:szCs w:val="24"/>
        </w:rPr>
        <w:lastRenderedPageBreak/>
        <w:t> </w:t>
      </w:r>
    </w:p>
    <w:p w:rsidR="005C34DB" w:rsidRPr="005C34DB" w:rsidRDefault="005C34DB" w:rsidP="005C34DB">
      <w:pPr>
        <w:widowControl/>
        <w:shd w:val="clear" w:color="auto" w:fill="FFFFFF"/>
        <w:spacing w:before="100" w:beforeAutospacing="1" w:after="100" w:afterAutospacing="1" w:line="700" w:lineRule="atLeast"/>
        <w:jc w:val="center"/>
        <w:rPr>
          <w:rFonts w:ascii="宋体" w:eastAsia="宋体" w:hAnsi="宋体" w:cs="宋体"/>
          <w:color w:val="333333"/>
          <w:kern w:val="0"/>
          <w:sz w:val="24"/>
          <w:szCs w:val="24"/>
        </w:rPr>
      </w:pPr>
      <w:r w:rsidRPr="005C34DB">
        <w:rPr>
          <w:rFonts w:ascii="方正小标宋简体" w:eastAsia="方正小标宋简体" w:hAnsi="宋体" w:cs="宋体" w:hint="eastAsia"/>
          <w:color w:val="333333"/>
          <w:kern w:val="0"/>
          <w:sz w:val="44"/>
          <w:szCs w:val="44"/>
        </w:rPr>
        <w:t>天津市房屋建筑和市政基础设施工程危险性较大的分部分项工程安全管理办法</w:t>
      </w:r>
    </w:p>
    <w:p w:rsidR="005C34DB" w:rsidRPr="005C34DB" w:rsidRDefault="005C34DB" w:rsidP="005C34DB">
      <w:pPr>
        <w:widowControl/>
        <w:shd w:val="clear" w:color="auto" w:fill="FFFFFF"/>
        <w:spacing w:before="100" w:beforeAutospacing="1" w:after="100" w:afterAutospacing="1" w:line="700" w:lineRule="atLeast"/>
        <w:jc w:val="center"/>
        <w:rPr>
          <w:rFonts w:ascii="宋体" w:eastAsia="宋体" w:hAnsi="宋体" w:cs="宋体"/>
          <w:color w:val="333333"/>
          <w:kern w:val="0"/>
          <w:sz w:val="32"/>
          <w:szCs w:val="32"/>
        </w:rPr>
      </w:pPr>
      <w:r w:rsidRPr="005C34DB">
        <w:rPr>
          <w:rFonts w:ascii="宋体" w:eastAsia="宋体" w:hAnsi="宋体" w:cs="宋体"/>
          <w:b/>
          <w:bCs/>
          <w:color w:val="333333"/>
          <w:kern w:val="0"/>
          <w:sz w:val="32"/>
          <w:szCs w:val="32"/>
        </w:rPr>
        <w:t> </w:t>
      </w:r>
    </w:p>
    <w:p w:rsidR="005C34DB" w:rsidRPr="005C34DB" w:rsidRDefault="005C34DB" w:rsidP="005C34DB">
      <w:pPr>
        <w:widowControl/>
        <w:shd w:val="clear" w:color="auto" w:fill="FFFFFF"/>
        <w:spacing w:line="600" w:lineRule="atLeast"/>
        <w:rPr>
          <w:rFonts w:ascii="仿宋_GB2312" w:eastAsia="仿宋_GB2312" w:hAnsi="微软雅黑" w:cs="宋体"/>
          <w:color w:val="333333"/>
          <w:kern w:val="0"/>
          <w:sz w:val="32"/>
          <w:szCs w:val="32"/>
        </w:rPr>
      </w:pPr>
      <w:r w:rsidRPr="005C34DB">
        <w:rPr>
          <w:rFonts w:ascii="Times New Roman" w:eastAsia="仿宋_GB2312" w:hAnsi="Times New Roman" w:cs="Times New Roman"/>
          <w:b/>
          <w:bCs/>
          <w:color w:val="000000"/>
          <w:kern w:val="0"/>
          <w:sz w:val="32"/>
          <w:szCs w:val="32"/>
        </w:rPr>
        <w:t> </w:t>
      </w:r>
      <w:r w:rsidRPr="005C34DB">
        <w:rPr>
          <w:rFonts w:ascii="Times New Roman" w:eastAsia="仿宋_GB2312" w:hAnsi="Times New Roman" w:cs="Times New Roman"/>
          <w:color w:val="000000"/>
          <w:kern w:val="0"/>
          <w:sz w:val="32"/>
          <w:szCs w:val="32"/>
        </w:rPr>
        <w:t xml:space="preserve">   </w:t>
      </w:r>
      <w:r w:rsidRPr="005C34DB">
        <w:rPr>
          <w:rFonts w:ascii="仿宋_GB2312" w:eastAsia="仿宋_GB2312" w:hAnsi="微软雅黑" w:cs="宋体" w:hint="eastAsia"/>
          <w:b/>
          <w:bCs/>
          <w:color w:val="000000"/>
          <w:kern w:val="0"/>
          <w:sz w:val="32"/>
          <w:szCs w:val="32"/>
        </w:rPr>
        <w:t>第一条</w:t>
      </w:r>
      <w:r w:rsidRPr="005C34DB">
        <w:rPr>
          <w:rFonts w:ascii="Times New Roman" w:eastAsia="仿宋_GB2312" w:hAnsi="Times New Roman" w:cs="Times New Roman"/>
          <w:b/>
          <w:bCs/>
          <w:color w:val="000000"/>
          <w:kern w:val="0"/>
          <w:sz w:val="32"/>
          <w:szCs w:val="32"/>
        </w:rPr>
        <w:t xml:space="preserve"> </w:t>
      </w:r>
      <w:r w:rsidRPr="005C34DB">
        <w:rPr>
          <w:rFonts w:ascii="Times New Roman" w:eastAsia="仿宋_GB2312" w:hAnsi="Times New Roman" w:cs="Times New Roman"/>
          <w:color w:val="000000"/>
          <w:kern w:val="0"/>
          <w:sz w:val="32"/>
          <w:szCs w:val="32"/>
        </w:rPr>
        <w:t> </w:t>
      </w:r>
      <w:r w:rsidRPr="005C34DB">
        <w:rPr>
          <w:rFonts w:ascii="仿宋_GB2312" w:eastAsia="仿宋_GB2312" w:hAnsi="微软雅黑" w:cs="宋体" w:hint="eastAsia"/>
          <w:color w:val="000000"/>
          <w:kern w:val="0"/>
          <w:sz w:val="32"/>
          <w:szCs w:val="32"/>
        </w:rPr>
        <w:t>为了加强本市房屋建筑和市政基础设施工程中危险性较大的分部分项工程（以下简称</w:t>
      </w:r>
      <w:r w:rsidRPr="005C34DB">
        <w:rPr>
          <w:rFonts w:ascii="Times New Roman" w:eastAsia="仿宋_GB2312" w:hAnsi="Times New Roman" w:cs="Times New Roman"/>
          <w:color w:val="000000"/>
          <w:kern w:val="0"/>
          <w:sz w:val="32"/>
          <w:szCs w:val="32"/>
        </w:rPr>
        <w:t>“</w:t>
      </w:r>
      <w:r w:rsidRPr="005C34DB">
        <w:rPr>
          <w:rFonts w:ascii="仿宋_GB2312" w:eastAsia="仿宋_GB2312" w:hAnsi="微软雅黑" w:cs="宋体" w:hint="eastAsia"/>
          <w:color w:val="000000"/>
          <w:kern w:val="0"/>
          <w:sz w:val="32"/>
          <w:szCs w:val="32"/>
        </w:rPr>
        <w:t>危大工程</w:t>
      </w:r>
      <w:r w:rsidRPr="005C34DB">
        <w:rPr>
          <w:rFonts w:ascii="Times New Roman" w:eastAsia="仿宋_GB2312" w:hAnsi="Times New Roman" w:cs="Times New Roman"/>
          <w:color w:val="000000"/>
          <w:kern w:val="0"/>
          <w:sz w:val="32"/>
          <w:szCs w:val="32"/>
        </w:rPr>
        <w:t>”</w:t>
      </w:r>
      <w:r w:rsidRPr="005C34DB">
        <w:rPr>
          <w:rFonts w:ascii="仿宋_GB2312" w:eastAsia="仿宋_GB2312" w:hAnsi="微软雅黑" w:cs="宋体" w:hint="eastAsia"/>
          <w:color w:val="000000"/>
          <w:kern w:val="0"/>
          <w:sz w:val="32"/>
          <w:szCs w:val="32"/>
        </w:rPr>
        <w:t>）安全管理，有效遏制较大及以上生产安全事故的发生，依据国务院《建设工程安全生产管理条例》、《天津市建设工程施工安全管理条例》、住房城乡建设部《危险性较大的分部分项工程安全管理规定》等有关规定，制定本办法。</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第二条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本办法适用于本市行政区域内房屋建筑和市政基础设施工程中危大工程安全管理。</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第三条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市、区两级建设行政主管部门按照职责分工负责危大工程的安全监督管理，委托市、区建设工程安全监督管理机构具体组织实施。</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第四条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危大工程的安全管理应当遵循</w:t>
      </w:r>
      <w:r w:rsidRPr="005C34DB">
        <w:rPr>
          <w:rFonts w:ascii="宋体" w:eastAsia="宋体" w:hAnsi="宋体" w:cs="宋体"/>
          <w:color w:val="000000"/>
          <w:kern w:val="0"/>
          <w:sz w:val="32"/>
          <w:szCs w:val="32"/>
        </w:rPr>
        <w:t>“</w:t>
      </w:r>
      <w:r w:rsidRPr="005C34DB">
        <w:rPr>
          <w:rFonts w:ascii="仿宋_GB2312" w:eastAsia="仿宋_GB2312" w:hAnsi="宋体" w:cs="宋体" w:hint="eastAsia"/>
          <w:color w:val="000000"/>
          <w:kern w:val="0"/>
          <w:sz w:val="32"/>
          <w:szCs w:val="32"/>
        </w:rPr>
        <w:t>清单辨识、方案评审、条件验收、领导带班、挂牌督办、责任追究</w:t>
      </w:r>
      <w:r w:rsidRPr="005C34DB">
        <w:rPr>
          <w:rFonts w:ascii="宋体" w:eastAsia="宋体" w:hAnsi="宋体" w:cs="宋体"/>
          <w:color w:val="000000"/>
          <w:kern w:val="0"/>
          <w:sz w:val="32"/>
          <w:szCs w:val="32"/>
        </w:rPr>
        <w:t>”</w:t>
      </w:r>
      <w:r w:rsidRPr="005C34DB">
        <w:rPr>
          <w:rFonts w:ascii="仿宋_GB2312" w:eastAsia="仿宋_GB2312" w:hAnsi="宋体" w:cs="宋体" w:hint="eastAsia"/>
          <w:color w:val="000000"/>
          <w:kern w:val="0"/>
          <w:sz w:val="32"/>
          <w:szCs w:val="32"/>
        </w:rPr>
        <w:t>的原则。</w:t>
      </w:r>
      <w:r w:rsidRPr="005C34DB">
        <w:rPr>
          <w:rFonts w:ascii="宋体" w:eastAsia="宋体" w:hAnsi="宋体" w:cs="宋体"/>
          <w:color w:val="000000"/>
          <w:kern w:val="0"/>
          <w:sz w:val="32"/>
          <w:szCs w:val="32"/>
        </w:rPr>
        <w:t xml:space="preserve"> </w:t>
      </w:r>
    </w:p>
    <w:p w:rsidR="005C34DB" w:rsidRPr="002312C4"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FF0000"/>
          <w:kern w:val="0"/>
          <w:sz w:val="32"/>
          <w:szCs w:val="32"/>
        </w:rPr>
      </w:pPr>
      <w:r w:rsidRPr="005C34DB">
        <w:rPr>
          <w:rFonts w:ascii="仿宋_GB2312" w:eastAsia="仿宋_GB2312" w:hAnsi="宋体" w:cs="宋体" w:hint="eastAsia"/>
          <w:b/>
          <w:bCs/>
          <w:color w:val="000000"/>
          <w:kern w:val="0"/>
          <w:sz w:val="32"/>
          <w:szCs w:val="32"/>
        </w:rPr>
        <w:lastRenderedPageBreak/>
        <w:t>第五条</w:t>
      </w:r>
      <w:r w:rsidRPr="005C34DB">
        <w:rPr>
          <w:rFonts w:ascii="宋体" w:eastAsia="宋体" w:hAnsi="宋体" w:cs="宋体"/>
          <w:color w:val="000000"/>
          <w:kern w:val="0"/>
          <w:sz w:val="32"/>
          <w:szCs w:val="32"/>
        </w:rPr>
        <w:t xml:space="preserve">  </w:t>
      </w:r>
      <w:r w:rsidRPr="002312C4">
        <w:rPr>
          <w:rFonts w:ascii="仿宋_GB2312" w:eastAsia="仿宋_GB2312" w:hAnsi="宋体" w:cs="宋体" w:hint="eastAsia"/>
          <w:color w:val="FF0000"/>
          <w:kern w:val="0"/>
          <w:sz w:val="32"/>
          <w:szCs w:val="32"/>
        </w:rPr>
        <w:t>建设单位应当组织勘察、设计等单位在施工招标文件中列出危大工程清单。</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施工单位应根据工程设计图纸、周边环境、水文地质、施工工期、工艺要求、劳动力安排、分部分项施工、机械设备、设施等条件，在投标时补充完善危大工程清单并明确相应的安全管理措施。</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危大工程清单应当经施工总承包单位法定代表人签字确认并加盖单位公章。</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第六条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施工单位应当在危大工程施工前组织工程技术人员编制专项施工方案，专项施工方案的主要内容应当符合住建部关于危大工程安全管理的有关规定。</w:t>
      </w:r>
    </w:p>
    <w:p w:rsidR="005C34DB" w:rsidRPr="005C34DB" w:rsidRDefault="005C34DB" w:rsidP="005C34DB">
      <w:pPr>
        <w:widowControl/>
        <w:shd w:val="clear" w:color="auto" w:fill="FFFFFF"/>
        <w:spacing w:line="600" w:lineRule="atLeast"/>
        <w:ind w:firstLine="640"/>
        <w:rPr>
          <w:rFonts w:ascii="仿宋_GB2312" w:eastAsia="仿宋_GB2312" w:hAnsi="微软雅黑" w:cs="宋体"/>
          <w:color w:val="333333"/>
          <w:kern w:val="0"/>
          <w:sz w:val="32"/>
          <w:szCs w:val="32"/>
        </w:rPr>
      </w:pPr>
      <w:r w:rsidRPr="005C34DB">
        <w:rPr>
          <w:rFonts w:ascii="仿宋_GB2312" w:eastAsia="仿宋_GB2312" w:hAnsi="微软雅黑" w:cs="宋体" w:hint="eastAsia"/>
          <w:color w:val="000000"/>
          <w:kern w:val="0"/>
          <w:sz w:val="32"/>
          <w:szCs w:val="32"/>
        </w:rPr>
        <w:t>对于超过一定规模的危大工程，专项施工方案内容还应当包括带班领导信息、重大风险点位明细以及施工条件验收的节点和标准。</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第七条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专项施工方案应当由施工专业承（分）包单位技术负责人、总承包单位技术负责人审核签字并加盖单位公章，总监理工程师审查签字并加盖执业印章，且由建设单位项目负责人签字确认后方可实施。</w:t>
      </w:r>
    </w:p>
    <w:p w:rsidR="005C34DB" w:rsidRPr="005F2989"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FF0000"/>
          <w:kern w:val="0"/>
          <w:sz w:val="32"/>
          <w:szCs w:val="32"/>
        </w:rPr>
      </w:pPr>
      <w:r w:rsidRPr="005C34DB">
        <w:rPr>
          <w:rFonts w:ascii="仿宋_GB2312" w:eastAsia="仿宋_GB2312" w:hAnsi="宋体" w:cs="宋体" w:hint="eastAsia"/>
          <w:b/>
          <w:bCs/>
          <w:color w:val="000000"/>
          <w:kern w:val="0"/>
          <w:sz w:val="32"/>
          <w:szCs w:val="32"/>
        </w:rPr>
        <w:lastRenderedPageBreak/>
        <w:t>第八条</w:t>
      </w:r>
      <w:r w:rsidRPr="005C34DB">
        <w:rPr>
          <w:rFonts w:ascii="宋体" w:eastAsia="宋体" w:hAnsi="宋体" w:cs="宋体"/>
          <w:color w:val="000000"/>
          <w:kern w:val="0"/>
          <w:sz w:val="32"/>
          <w:szCs w:val="32"/>
        </w:rPr>
        <w:t xml:space="preserve">  </w:t>
      </w:r>
      <w:r w:rsidRPr="005F2989">
        <w:rPr>
          <w:rFonts w:ascii="仿宋_GB2312" w:eastAsia="仿宋_GB2312" w:hAnsi="宋体" w:cs="宋体" w:hint="eastAsia"/>
          <w:color w:val="FF0000"/>
          <w:kern w:val="0"/>
          <w:sz w:val="32"/>
          <w:szCs w:val="32"/>
        </w:rPr>
        <w:t>对于超过一定规模的危大工程专项施工方案的论证，施工单位应当从本市危险性较大的分部分项工程论证专家库中选取相关专家。</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专项施工方案论证程序、方式、内容以及专家选取应当执行</w:t>
      </w:r>
      <w:r w:rsidRPr="002312C4">
        <w:rPr>
          <w:rFonts w:ascii="仿宋_GB2312" w:eastAsia="仿宋_GB2312" w:hAnsi="宋体" w:cs="宋体" w:hint="eastAsia"/>
          <w:color w:val="FF0000"/>
          <w:kern w:val="0"/>
          <w:sz w:val="32"/>
          <w:szCs w:val="32"/>
        </w:rPr>
        <w:t>《天津市危险性较大分部分项工程技术方案论证指南》</w:t>
      </w:r>
      <w:r w:rsidRPr="005C34DB">
        <w:rPr>
          <w:rFonts w:ascii="仿宋_GB2312" w:eastAsia="仿宋_GB2312" w:hAnsi="宋体" w:cs="宋体" w:hint="eastAsia"/>
          <w:color w:val="000000"/>
          <w:kern w:val="0"/>
          <w:sz w:val="32"/>
          <w:szCs w:val="32"/>
        </w:rPr>
        <w:t>。</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专家对专项施工方案提出修改意见并要求修改后通过的，施工单位应当根据修改意见对专项施工方案进行修改完善并经专家组组长签字确认，重新履行本办法第七条的程序后方可实施。</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第九条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施工单位应当严格按照专项施工方案组织施工，不得擅自修改专项施工方案。</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因规划调整、设计变更等原因确需调整的，修改后的专项施工方案应当重新审核和论证。</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超过一定规模的危大工程在方案中确定的重大风险点位施工前，应当进行条件验收。验收内容包括：专项施工方案编制、审批、专家论证情况；检测、监测情况；施工方案安全技术交底情况；应急预案和救援物资储备情况；安全防护和安全警示标志及重大风险部位公示牌情况；周边环境现状</w:t>
      </w:r>
      <w:r w:rsidRPr="005C34DB">
        <w:rPr>
          <w:rFonts w:ascii="仿宋_GB2312" w:eastAsia="仿宋_GB2312" w:hAnsi="宋体" w:cs="宋体" w:hint="eastAsia"/>
          <w:color w:val="000000"/>
          <w:kern w:val="0"/>
          <w:sz w:val="32"/>
          <w:szCs w:val="32"/>
        </w:rPr>
        <w:lastRenderedPageBreak/>
        <w:t>评估及保护情况；施工机械使用前验收情况；视频监控情况；领导带班、项目管理人员和劳动力组织情况等。</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第十一条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条件验收应当履行施工单位自检、监理单位复检、建设单位组织验收的程序。</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施工单位技术负责人应当组织相关人员根据专项施工方案中确定的施工条件验收标准进行自检。自检合格的，向监理单位提出复检申请。</w:t>
      </w:r>
    </w:p>
    <w:p w:rsidR="005C34DB" w:rsidRPr="005C34DB" w:rsidRDefault="005C34DB" w:rsidP="005C34DB">
      <w:pPr>
        <w:widowControl/>
        <w:shd w:val="clear" w:color="auto" w:fill="FFFFFF"/>
        <w:spacing w:line="600" w:lineRule="atLeast"/>
        <w:ind w:firstLine="640"/>
        <w:rPr>
          <w:rFonts w:ascii="仿宋_GB2312" w:eastAsia="仿宋_GB2312" w:hAnsi="微软雅黑" w:cs="宋体"/>
          <w:color w:val="333333"/>
          <w:kern w:val="0"/>
          <w:sz w:val="32"/>
          <w:szCs w:val="32"/>
        </w:rPr>
      </w:pPr>
      <w:r w:rsidRPr="005C34DB">
        <w:rPr>
          <w:rFonts w:ascii="仿宋_GB2312" w:eastAsia="仿宋_GB2312" w:hAnsi="微软雅黑" w:cs="宋体" w:hint="eastAsia"/>
          <w:color w:val="000000"/>
          <w:kern w:val="0"/>
          <w:sz w:val="32"/>
          <w:szCs w:val="32"/>
        </w:rPr>
        <w:t>监理单位收到施工单位复检申请后，项目总监理工程师应当及时组织对施工条件进行复检，复检合格后报建设单位组织验收。</w:t>
      </w:r>
    </w:p>
    <w:p w:rsidR="005C34DB" w:rsidRPr="002312C4"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FF0000"/>
          <w:kern w:val="0"/>
          <w:sz w:val="32"/>
          <w:szCs w:val="32"/>
        </w:rPr>
      </w:pPr>
      <w:r w:rsidRPr="002312C4">
        <w:rPr>
          <w:rFonts w:ascii="仿宋_GB2312" w:eastAsia="仿宋_GB2312" w:hAnsi="宋体" w:cs="宋体" w:hint="eastAsia"/>
          <w:color w:val="FF0000"/>
          <w:kern w:val="0"/>
          <w:sz w:val="32"/>
          <w:szCs w:val="32"/>
        </w:rPr>
        <w:t>建设单位接到验收申请后，应当组织施工单位技术负责人、项目总监理工程师、勘察和设计单位项目技术负责人、监测单位项目负责人对施工条件进行验收，提出验收意见，明确验收结论，必要时可邀请相关专家参与验收。</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未经验收合格的不得进行危大工程施工。</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第十二条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施工单位项目经理和总监理工程师应当加强对重大风险点位的控制，全面掌握危大工程施工安全状况，及时消除安全隐患。</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lastRenderedPageBreak/>
        <w:t>超过一定规模危大工程的重大风险点位施工过程中，建设单位项目负责人、施工单位负责人和监理单位项目负责人应当现场带班，并做好带班记录存档备查。</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第十三条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施工单位负责人应当对危大工程实施带班检查，并加大检查频次。</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第十四条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项目负责人需要临时离开现场不能带班生产的，应当经建设单位项目负责人和本企业负责人同意，并委托施工管理负责人或者技术负责人负责现场带班。</w:t>
      </w:r>
    </w:p>
    <w:p w:rsidR="005C34DB" w:rsidRPr="002312C4" w:rsidRDefault="005C34DB" w:rsidP="005C34DB">
      <w:pPr>
        <w:widowControl/>
        <w:shd w:val="clear" w:color="auto" w:fill="FFFFFF"/>
        <w:spacing w:before="100" w:beforeAutospacing="1" w:after="100" w:afterAutospacing="1" w:line="600" w:lineRule="atLeast"/>
        <w:ind w:firstLine="628"/>
        <w:rPr>
          <w:rFonts w:ascii="宋体" w:eastAsia="宋体" w:hAnsi="宋体" w:cs="宋体"/>
          <w:color w:val="FF0000"/>
          <w:kern w:val="0"/>
          <w:sz w:val="32"/>
          <w:szCs w:val="32"/>
        </w:rPr>
      </w:pPr>
      <w:r w:rsidRPr="005C34DB">
        <w:rPr>
          <w:rFonts w:ascii="仿宋_GB2312" w:eastAsia="仿宋_GB2312" w:hAnsi="宋体" w:cs="宋体" w:hint="eastAsia"/>
          <w:b/>
          <w:bCs/>
          <w:color w:val="000000"/>
          <w:kern w:val="0"/>
          <w:sz w:val="32"/>
          <w:szCs w:val="32"/>
        </w:rPr>
        <w:t>第十五条</w:t>
      </w:r>
      <w:r w:rsidRPr="005C34DB">
        <w:rPr>
          <w:rFonts w:ascii="宋体" w:eastAsia="宋体" w:hAnsi="宋体" w:cs="宋体"/>
          <w:color w:val="000000"/>
          <w:kern w:val="0"/>
          <w:sz w:val="32"/>
          <w:szCs w:val="32"/>
        </w:rPr>
        <w:t> </w:t>
      </w:r>
      <w:r w:rsidRPr="002312C4">
        <w:rPr>
          <w:rFonts w:ascii="宋体" w:eastAsia="宋体" w:hAnsi="宋体" w:cs="宋体"/>
          <w:color w:val="FF0000"/>
          <w:kern w:val="0"/>
          <w:sz w:val="32"/>
          <w:szCs w:val="32"/>
        </w:rPr>
        <w:t xml:space="preserve"> </w:t>
      </w:r>
      <w:r w:rsidRPr="002312C4">
        <w:rPr>
          <w:rFonts w:ascii="仿宋_GB2312" w:eastAsia="仿宋_GB2312" w:hAnsi="宋体" w:cs="宋体" w:hint="eastAsia"/>
          <w:color w:val="FF0000"/>
          <w:kern w:val="0"/>
          <w:sz w:val="32"/>
          <w:szCs w:val="32"/>
        </w:rPr>
        <w:t>建设单位对危大工程施工安全负总责，在超过一定规模的危大工程施工期间，应当定期组织勘察、设计、施工、监理、监测等有关单位参加的危大工程例会，协调解决有关事项，检查落实各方人员到岗情况。</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第十六条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施工单位应当严格落实施工作业前隐患排查制度，每天在危大工程施工前应当进行安全隐患排查，发现隐患及时整改消除，检查及整改工作应当做好记录并归档备查。</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监理单位应当定期检查危大工程施工作业前安全隐患排查工作的落实情况。</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lastRenderedPageBreak/>
        <w:t>第十七条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监理单位应当结合危大工程专项施工方案编制危大工程监理实施细则，并对危大工程施工实施专项巡视检查。</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对于超过一定规模的危大工程施工，监理单位应当进行旁站监理。</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第十八条</w:t>
      </w:r>
      <w:r w:rsidRPr="005C34DB">
        <w:rPr>
          <w:rFonts w:ascii="宋体" w:eastAsia="宋体" w:hAnsi="宋体" w:cs="宋体"/>
          <w:color w:val="000000"/>
          <w:kern w:val="0"/>
          <w:sz w:val="32"/>
          <w:szCs w:val="32"/>
        </w:rPr>
        <w:t xml:space="preserve">  </w:t>
      </w:r>
      <w:r w:rsidRPr="002312C4">
        <w:rPr>
          <w:rFonts w:ascii="仿宋_GB2312" w:eastAsia="仿宋_GB2312" w:hAnsi="宋体" w:cs="宋体" w:hint="eastAsia"/>
          <w:color w:val="FF0000"/>
          <w:kern w:val="0"/>
          <w:sz w:val="32"/>
          <w:szCs w:val="32"/>
        </w:rPr>
        <w:t>对于按照规定需要进行第三方监测的危大工程，建设单位应当委托具有相应勘察资质的单位进行监测。</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t>监测单位应当依据国家和本市有关规范标准，对危大工程编制专项监测方案，监测方案由监测单位技术负责人审核签字并加盖单位公章，报送监理单位后方可实施。</w:t>
      </w:r>
      <w:r w:rsidRPr="005C34DB">
        <w:rPr>
          <w:rFonts w:ascii="宋体" w:eastAsia="宋体" w:hAnsi="宋体" w:cs="宋体"/>
          <w:color w:val="000000"/>
          <w:kern w:val="0"/>
          <w:sz w:val="32"/>
          <w:szCs w:val="32"/>
        </w:rPr>
        <w:t xml:space="preserve"> </w:t>
      </w:r>
    </w:p>
    <w:p w:rsidR="005C34DB" w:rsidRPr="005F2989"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FF0000"/>
          <w:kern w:val="0"/>
          <w:sz w:val="32"/>
          <w:szCs w:val="32"/>
        </w:rPr>
      </w:pPr>
      <w:r w:rsidRPr="005F2989">
        <w:rPr>
          <w:rFonts w:ascii="仿宋_GB2312" w:eastAsia="仿宋_GB2312" w:hAnsi="宋体" w:cs="宋体" w:hint="eastAsia"/>
          <w:color w:val="FF0000"/>
          <w:kern w:val="0"/>
          <w:sz w:val="32"/>
          <w:szCs w:val="32"/>
        </w:rPr>
        <w:t>监测单位应当每天将监测数据及时报建设单位。发现异常时，立即向建设、设计、施工、监理单位报告，建设单位应当立即组织相关单位采取处置措施。</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第十九条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危大工程施工结束，施工单位、监理单位应当组织相关人员进行验收。必要时，可邀请有关专家参与验收。验收合格的，经施工单位项目技术负责人和总监理工程师签字确认后，方可进入下一道工序。</w:t>
      </w:r>
    </w:p>
    <w:p w:rsidR="005C34DB" w:rsidRPr="005C34DB" w:rsidRDefault="005C34DB" w:rsidP="005C34DB">
      <w:pPr>
        <w:widowControl/>
        <w:shd w:val="clear" w:color="auto" w:fill="FFFFFF"/>
        <w:spacing w:before="100" w:beforeAutospacing="1" w:after="100" w:afterAutospacing="1" w:line="600" w:lineRule="atLeast"/>
        <w:ind w:firstLine="630"/>
        <w:rPr>
          <w:rFonts w:ascii="宋体" w:eastAsia="宋体" w:hAnsi="宋体" w:cs="宋体"/>
          <w:color w:val="333333"/>
          <w:kern w:val="0"/>
          <w:sz w:val="32"/>
          <w:szCs w:val="32"/>
        </w:rPr>
      </w:pPr>
      <w:r w:rsidRPr="005C34DB">
        <w:rPr>
          <w:rFonts w:ascii="仿宋_GB2312" w:eastAsia="仿宋_GB2312" w:hAnsi="宋体" w:cs="宋体" w:hint="eastAsia"/>
          <w:color w:val="000000"/>
          <w:kern w:val="0"/>
          <w:sz w:val="32"/>
          <w:szCs w:val="32"/>
        </w:rPr>
        <w:lastRenderedPageBreak/>
        <w:t>危大工程验收合格后，施工单位应当在施工现场明显位置设置验收标识牌，公示验收时间及责任人员。</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第二十条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危大工程发生险情或者事故时，施工单位应当立即采取应急处置措施，同时立即上报建设行政主管部门。</w:t>
      </w:r>
    </w:p>
    <w:p w:rsidR="005C34DB" w:rsidRPr="005F2989"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FF0000"/>
          <w:kern w:val="0"/>
          <w:sz w:val="32"/>
          <w:szCs w:val="32"/>
        </w:rPr>
      </w:pPr>
      <w:r w:rsidRPr="005F2989">
        <w:rPr>
          <w:rFonts w:ascii="仿宋_GB2312" w:eastAsia="仿宋_GB2312" w:hAnsi="宋体" w:cs="宋体" w:hint="eastAsia"/>
          <w:color w:val="FF0000"/>
          <w:kern w:val="0"/>
          <w:sz w:val="32"/>
          <w:szCs w:val="32"/>
        </w:rPr>
        <w:t>建设、勘察、设计、监理等单位应当配合施工单位开展应急抢险工作。</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第二十一条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333333"/>
          <w:kern w:val="0"/>
          <w:sz w:val="32"/>
          <w:szCs w:val="32"/>
        </w:rPr>
        <w:t>建设工程安全监督管理机构在监督抽查中发现违反本办法规定、存在安全隐患的，应当责令施工单位立即整改；重大安全事故隐患排除前或者排除过程中无法保证安全的，应当责令施工单位暂停施工，并对危大工程进行挂牌督办，对相关单位和责任人依法给予严肃处理，并纳入建筑市场信用信息系统。</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333333"/>
          <w:kern w:val="0"/>
          <w:sz w:val="32"/>
          <w:szCs w:val="32"/>
        </w:rPr>
        <w:t>第</w:t>
      </w:r>
      <w:r w:rsidRPr="005C34DB">
        <w:rPr>
          <w:rFonts w:ascii="仿宋_GB2312" w:eastAsia="仿宋_GB2312" w:hAnsi="宋体" w:cs="宋体" w:hint="eastAsia"/>
          <w:b/>
          <w:bCs/>
          <w:color w:val="000000"/>
          <w:kern w:val="0"/>
          <w:sz w:val="32"/>
          <w:szCs w:val="32"/>
        </w:rPr>
        <w:t>二十二</w:t>
      </w:r>
      <w:r w:rsidRPr="005C34DB">
        <w:rPr>
          <w:rFonts w:ascii="仿宋_GB2312" w:eastAsia="仿宋_GB2312" w:hAnsi="宋体" w:cs="宋体" w:hint="eastAsia"/>
          <w:b/>
          <w:bCs/>
          <w:color w:val="333333"/>
          <w:kern w:val="0"/>
          <w:sz w:val="32"/>
          <w:szCs w:val="32"/>
        </w:rPr>
        <w:t>条</w:t>
      </w:r>
      <w:r w:rsidRPr="005C34DB">
        <w:rPr>
          <w:rFonts w:ascii="宋体" w:eastAsia="宋体" w:hAnsi="宋体" w:cs="宋体"/>
          <w:color w:val="333333"/>
          <w:kern w:val="0"/>
          <w:sz w:val="32"/>
          <w:szCs w:val="32"/>
        </w:rPr>
        <w:t xml:space="preserve">  </w:t>
      </w:r>
      <w:r w:rsidRPr="005C34DB">
        <w:rPr>
          <w:rFonts w:ascii="仿宋_GB2312" w:eastAsia="仿宋_GB2312" w:hAnsi="宋体" w:cs="宋体" w:hint="eastAsia"/>
          <w:color w:val="333333"/>
          <w:kern w:val="0"/>
          <w:sz w:val="32"/>
          <w:szCs w:val="32"/>
        </w:rPr>
        <w:t>建设工程安全监督管理机构在监督抽查中发现施工单位违反《危险性较大的分部分项工程安全管理规定》（住房城乡建设部</w:t>
      </w:r>
      <w:r w:rsidRPr="005C34DB">
        <w:rPr>
          <w:rFonts w:ascii="宋体" w:eastAsia="宋体" w:hAnsi="宋体" w:cs="宋体"/>
          <w:color w:val="333333"/>
          <w:kern w:val="0"/>
          <w:sz w:val="32"/>
          <w:szCs w:val="32"/>
        </w:rPr>
        <w:t>37</w:t>
      </w:r>
      <w:r w:rsidRPr="005C34DB">
        <w:rPr>
          <w:rFonts w:ascii="仿宋_GB2312" w:eastAsia="仿宋_GB2312" w:hAnsi="宋体" w:cs="宋体" w:hint="eastAsia"/>
          <w:color w:val="333333"/>
          <w:kern w:val="0"/>
          <w:sz w:val="32"/>
          <w:szCs w:val="32"/>
        </w:rPr>
        <w:t>号令）第三十二条、第三十四条有关规定的，应当立即责令施工单位限期改正，按规定程序进行行政处罚，并向市建设行政主管部门报告。</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lastRenderedPageBreak/>
        <w:t>第</w:t>
      </w:r>
      <w:r w:rsidRPr="005C34DB">
        <w:rPr>
          <w:rFonts w:ascii="仿宋_GB2312" w:eastAsia="仿宋_GB2312" w:hAnsi="宋体" w:cs="宋体" w:hint="eastAsia"/>
          <w:b/>
          <w:bCs/>
          <w:color w:val="333333"/>
          <w:kern w:val="0"/>
          <w:sz w:val="32"/>
          <w:szCs w:val="32"/>
        </w:rPr>
        <w:t>二十三</w:t>
      </w:r>
      <w:r w:rsidRPr="005C34DB">
        <w:rPr>
          <w:rFonts w:ascii="仿宋_GB2312" w:eastAsia="仿宋_GB2312" w:hAnsi="宋体" w:cs="宋体" w:hint="eastAsia"/>
          <w:b/>
          <w:bCs/>
          <w:color w:val="000000"/>
          <w:kern w:val="0"/>
          <w:sz w:val="32"/>
          <w:szCs w:val="32"/>
        </w:rPr>
        <w:t>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危大工程和超过一定规模的危大工程范围，执行《住房城乡建设部办公厅关于实施</w:t>
      </w:r>
      <w:r w:rsidRPr="005C34DB">
        <w:rPr>
          <w:rFonts w:ascii="宋体" w:eastAsia="宋体" w:hAnsi="宋体" w:cs="宋体"/>
          <w:color w:val="000000"/>
          <w:kern w:val="0"/>
          <w:sz w:val="32"/>
          <w:szCs w:val="32"/>
        </w:rPr>
        <w:t>&lt;</w:t>
      </w:r>
      <w:r w:rsidRPr="005C34DB">
        <w:rPr>
          <w:rFonts w:ascii="仿宋_GB2312" w:eastAsia="仿宋_GB2312" w:hAnsi="宋体" w:cs="宋体" w:hint="eastAsia"/>
          <w:color w:val="000000"/>
          <w:kern w:val="0"/>
          <w:sz w:val="32"/>
          <w:szCs w:val="32"/>
        </w:rPr>
        <w:t>危险性较大的分部分项工程安全管理规定</w:t>
      </w:r>
      <w:r w:rsidRPr="005C34DB">
        <w:rPr>
          <w:rFonts w:ascii="宋体" w:eastAsia="宋体" w:hAnsi="宋体" w:cs="宋体"/>
          <w:color w:val="000000"/>
          <w:kern w:val="0"/>
          <w:sz w:val="32"/>
          <w:szCs w:val="32"/>
        </w:rPr>
        <w:t>&gt;</w:t>
      </w:r>
      <w:r w:rsidRPr="005C34DB">
        <w:rPr>
          <w:rFonts w:ascii="仿宋_GB2312" w:eastAsia="仿宋_GB2312" w:hAnsi="宋体" w:cs="宋体" w:hint="eastAsia"/>
          <w:color w:val="000000"/>
          <w:kern w:val="0"/>
          <w:sz w:val="32"/>
          <w:szCs w:val="32"/>
        </w:rPr>
        <w:t>有关问题的通知》（建办质</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333333"/>
          <w:kern w:val="0"/>
          <w:sz w:val="32"/>
          <w:szCs w:val="32"/>
        </w:rPr>
        <w:t>2018</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000000"/>
          <w:kern w:val="0"/>
          <w:sz w:val="32"/>
          <w:szCs w:val="32"/>
        </w:rPr>
        <w:t>31</w:t>
      </w:r>
      <w:r w:rsidRPr="005C34DB">
        <w:rPr>
          <w:rFonts w:ascii="仿宋_GB2312" w:eastAsia="仿宋_GB2312" w:hAnsi="宋体" w:cs="宋体" w:hint="eastAsia"/>
          <w:color w:val="000000"/>
          <w:kern w:val="0"/>
          <w:sz w:val="32"/>
          <w:szCs w:val="32"/>
        </w:rPr>
        <w:t>号）。</w:t>
      </w:r>
    </w:p>
    <w:p w:rsidR="005C34DB" w:rsidRPr="005C34DB" w:rsidRDefault="005C34DB" w:rsidP="005C34DB">
      <w:pPr>
        <w:widowControl/>
        <w:shd w:val="clear" w:color="auto" w:fill="FFFFFF"/>
        <w:spacing w:before="100" w:beforeAutospacing="1" w:after="100" w:afterAutospacing="1" w:line="600" w:lineRule="atLeast"/>
        <w:ind w:firstLine="640"/>
        <w:rPr>
          <w:rFonts w:ascii="宋体" w:eastAsia="宋体" w:hAnsi="宋体" w:cs="宋体"/>
          <w:color w:val="333333"/>
          <w:kern w:val="0"/>
          <w:sz w:val="32"/>
          <w:szCs w:val="32"/>
        </w:rPr>
      </w:pPr>
      <w:r w:rsidRPr="005C34DB">
        <w:rPr>
          <w:rFonts w:ascii="仿宋_GB2312" w:eastAsia="仿宋_GB2312" w:hAnsi="宋体" w:cs="宋体" w:hint="eastAsia"/>
          <w:b/>
          <w:bCs/>
          <w:color w:val="000000"/>
          <w:kern w:val="0"/>
          <w:sz w:val="32"/>
          <w:szCs w:val="32"/>
        </w:rPr>
        <w:t>第二十四条</w:t>
      </w:r>
      <w:r w:rsidRPr="005C34DB">
        <w:rPr>
          <w:rFonts w:ascii="宋体" w:eastAsia="宋体" w:hAnsi="宋体" w:cs="宋体"/>
          <w:color w:val="000000"/>
          <w:kern w:val="0"/>
          <w:sz w:val="32"/>
          <w:szCs w:val="32"/>
        </w:rPr>
        <w:t xml:space="preserve">  </w:t>
      </w:r>
      <w:r w:rsidRPr="005C34DB">
        <w:rPr>
          <w:rFonts w:ascii="仿宋_GB2312" w:eastAsia="仿宋_GB2312" w:hAnsi="宋体" w:cs="宋体" w:hint="eastAsia"/>
          <w:color w:val="000000"/>
          <w:kern w:val="0"/>
          <w:sz w:val="32"/>
          <w:szCs w:val="32"/>
        </w:rPr>
        <w:t>本办法自发布之日起施行，有效期五年。《天津市建设工程重大危险源管理办法》（建质安总</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333333"/>
          <w:kern w:val="0"/>
          <w:sz w:val="32"/>
          <w:szCs w:val="32"/>
        </w:rPr>
        <w:t>2012</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000000"/>
          <w:kern w:val="0"/>
          <w:sz w:val="32"/>
          <w:szCs w:val="32"/>
        </w:rPr>
        <w:t>11</w:t>
      </w:r>
      <w:r w:rsidRPr="005C34DB">
        <w:rPr>
          <w:rFonts w:ascii="仿宋_GB2312" w:eastAsia="仿宋_GB2312" w:hAnsi="宋体" w:cs="宋体" w:hint="eastAsia"/>
          <w:color w:val="000000"/>
          <w:kern w:val="0"/>
          <w:sz w:val="32"/>
          <w:szCs w:val="32"/>
        </w:rPr>
        <w:t>号）和《天津市建设工程重大风险点位施工条件验收办法》（建质安总</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333333"/>
          <w:kern w:val="0"/>
          <w:sz w:val="32"/>
          <w:szCs w:val="32"/>
        </w:rPr>
        <w:t>2012</w:t>
      </w:r>
      <w:r w:rsidRPr="005C34DB">
        <w:rPr>
          <w:rFonts w:ascii="仿宋_GB2312" w:eastAsia="仿宋_GB2312" w:hAnsi="宋体" w:cs="宋体" w:hint="eastAsia"/>
          <w:color w:val="333333"/>
          <w:kern w:val="0"/>
          <w:sz w:val="32"/>
          <w:szCs w:val="32"/>
        </w:rPr>
        <w:t>〕</w:t>
      </w:r>
      <w:r w:rsidRPr="005C34DB">
        <w:rPr>
          <w:rFonts w:ascii="宋体" w:eastAsia="宋体" w:hAnsi="宋体" w:cs="宋体"/>
          <w:color w:val="000000"/>
          <w:kern w:val="0"/>
          <w:sz w:val="32"/>
          <w:szCs w:val="32"/>
        </w:rPr>
        <w:t>74</w:t>
      </w:r>
      <w:r w:rsidRPr="005C34DB">
        <w:rPr>
          <w:rFonts w:ascii="仿宋_GB2312" w:eastAsia="仿宋_GB2312" w:hAnsi="宋体" w:cs="宋体" w:hint="eastAsia"/>
          <w:color w:val="000000"/>
          <w:kern w:val="0"/>
          <w:sz w:val="32"/>
          <w:szCs w:val="32"/>
        </w:rPr>
        <w:t>号）同时废止。</w:t>
      </w:r>
    </w:p>
    <w:p w:rsidR="0075385B" w:rsidRPr="005C34DB" w:rsidRDefault="0075385B"/>
    <w:sectPr w:rsidR="0075385B" w:rsidRPr="005C34DB" w:rsidSect="005C34DB">
      <w:pgSz w:w="11906" w:h="16838"/>
      <w:pgMar w:top="2098" w:right="1588" w:bottom="1701"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1B37" w:rsidRDefault="00051B37" w:rsidP="002312C4">
      <w:r>
        <w:separator/>
      </w:r>
    </w:p>
  </w:endnote>
  <w:endnote w:type="continuationSeparator" w:id="0">
    <w:p w:rsidR="00051B37" w:rsidRDefault="00051B37" w:rsidP="002312C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1B37" w:rsidRDefault="00051B37" w:rsidP="002312C4">
      <w:r>
        <w:separator/>
      </w:r>
    </w:p>
  </w:footnote>
  <w:footnote w:type="continuationSeparator" w:id="0">
    <w:p w:rsidR="00051B37" w:rsidRDefault="00051B37" w:rsidP="002312C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C34DB"/>
    <w:rsid w:val="00051B37"/>
    <w:rsid w:val="002312C4"/>
    <w:rsid w:val="0025005F"/>
    <w:rsid w:val="004A433E"/>
    <w:rsid w:val="005C34DB"/>
    <w:rsid w:val="005F2989"/>
    <w:rsid w:val="007538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38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izsvr129">
    <w:name w:val="bizsvr129"/>
    <w:basedOn w:val="a"/>
    <w:rsid w:val="005C34DB"/>
    <w:pPr>
      <w:widowControl/>
      <w:spacing w:before="100" w:beforeAutospacing="1" w:after="100" w:afterAutospacing="1"/>
      <w:jc w:val="left"/>
    </w:pPr>
    <w:rPr>
      <w:rFonts w:ascii="宋体" w:eastAsia="宋体" w:hAnsi="宋体" w:cs="宋体"/>
      <w:kern w:val="0"/>
      <w:sz w:val="24"/>
      <w:szCs w:val="24"/>
    </w:rPr>
  </w:style>
  <w:style w:type="paragraph" w:customStyle="1" w:styleId="bizsvr6">
    <w:name w:val="bizsvr6"/>
    <w:basedOn w:val="a"/>
    <w:rsid w:val="005C34DB"/>
    <w:pPr>
      <w:widowControl/>
      <w:spacing w:before="100" w:beforeAutospacing="1" w:after="100" w:afterAutospacing="1"/>
      <w:jc w:val="left"/>
    </w:pPr>
    <w:rPr>
      <w:rFonts w:ascii="宋体" w:eastAsia="宋体" w:hAnsi="宋体" w:cs="宋体"/>
      <w:kern w:val="0"/>
      <w:sz w:val="24"/>
      <w:szCs w:val="24"/>
    </w:rPr>
  </w:style>
  <w:style w:type="paragraph" w:styleId="a3">
    <w:name w:val="header"/>
    <w:basedOn w:val="a"/>
    <w:link w:val="Char"/>
    <w:uiPriority w:val="99"/>
    <w:semiHidden/>
    <w:unhideWhenUsed/>
    <w:rsid w:val="002312C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312C4"/>
    <w:rPr>
      <w:sz w:val="18"/>
      <w:szCs w:val="18"/>
    </w:rPr>
  </w:style>
  <w:style w:type="paragraph" w:styleId="a4">
    <w:name w:val="footer"/>
    <w:basedOn w:val="a"/>
    <w:link w:val="Char0"/>
    <w:uiPriority w:val="99"/>
    <w:semiHidden/>
    <w:unhideWhenUsed/>
    <w:rsid w:val="002312C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312C4"/>
    <w:rPr>
      <w:sz w:val="18"/>
      <w:szCs w:val="18"/>
    </w:rPr>
  </w:style>
</w:styles>
</file>

<file path=word/webSettings.xml><?xml version="1.0" encoding="utf-8"?>
<w:webSettings xmlns:r="http://schemas.openxmlformats.org/officeDocument/2006/relationships" xmlns:w="http://schemas.openxmlformats.org/wordprocessingml/2006/main">
  <w:divs>
    <w:div w:id="303316494">
      <w:bodyDiv w:val="1"/>
      <w:marLeft w:val="0"/>
      <w:marRight w:val="0"/>
      <w:marTop w:val="0"/>
      <w:marBottom w:val="0"/>
      <w:divBdr>
        <w:top w:val="none" w:sz="0" w:space="0" w:color="auto"/>
        <w:left w:val="none" w:sz="0" w:space="0" w:color="auto"/>
        <w:bottom w:val="none" w:sz="0" w:space="0" w:color="auto"/>
        <w:right w:val="none" w:sz="0" w:space="0" w:color="auto"/>
      </w:divBdr>
      <w:divsChild>
        <w:div w:id="1575508408">
          <w:marLeft w:val="0"/>
          <w:marRight w:val="0"/>
          <w:marTop w:val="0"/>
          <w:marBottom w:val="0"/>
          <w:divBdr>
            <w:top w:val="none" w:sz="0" w:space="0" w:color="auto"/>
            <w:left w:val="none" w:sz="0" w:space="0" w:color="auto"/>
            <w:bottom w:val="none" w:sz="0" w:space="0" w:color="auto"/>
            <w:right w:val="none" w:sz="0" w:space="0" w:color="auto"/>
          </w:divBdr>
          <w:divsChild>
            <w:div w:id="767852088">
              <w:marLeft w:val="0"/>
              <w:marRight w:val="0"/>
              <w:marTop w:val="0"/>
              <w:marBottom w:val="0"/>
              <w:divBdr>
                <w:top w:val="single" w:sz="4" w:space="0" w:color="CCCCCC"/>
                <w:left w:val="single" w:sz="4" w:space="0" w:color="CCCCCC"/>
                <w:bottom w:val="single" w:sz="4" w:space="6" w:color="CCCCCC"/>
                <w:right w:val="single" w:sz="4" w:space="0" w:color="CCCCCC"/>
              </w:divBdr>
              <w:divsChild>
                <w:div w:id="928730205">
                  <w:marLeft w:val="0"/>
                  <w:marRight w:val="0"/>
                  <w:marTop w:val="240"/>
                  <w:marBottom w:val="0"/>
                  <w:divBdr>
                    <w:top w:val="none" w:sz="0" w:space="0" w:color="auto"/>
                    <w:left w:val="none" w:sz="0" w:space="0" w:color="auto"/>
                    <w:bottom w:val="none" w:sz="0" w:space="0" w:color="auto"/>
                    <w:right w:val="none" w:sz="0" w:space="0" w:color="auto"/>
                  </w:divBdr>
                  <w:divsChild>
                    <w:div w:id="120930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482831">
      <w:bodyDiv w:val="1"/>
      <w:marLeft w:val="0"/>
      <w:marRight w:val="0"/>
      <w:marTop w:val="0"/>
      <w:marBottom w:val="0"/>
      <w:divBdr>
        <w:top w:val="none" w:sz="0" w:space="0" w:color="auto"/>
        <w:left w:val="none" w:sz="0" w:space="0" w:color="auto"/>
        <w:bottom w:val="none" w:sz="0" w:space="0" w:color="auto"/>
        <w:right w:val="none" w:sz="0" w:space="0" w:color="auto"/>
      </w:divBdr>
      <w:divsChild>
        <w:div w:id="1000885744">
          <w:marLeft w:val="0"/>
          <w:marRight w:val="0"/>
          <w:marTop w:val="0"/>
          <w:marBottom w:val="0"/>
          <w:divBdr>
            <w:top w:val="none" w:sz="0" w:space="0" w:color="auto"/>
            <w:left w:val="none" w:sz="0" w:space="0" w:color="auto"/>
            <w:bottom w:val="none" w:sz="0" w:space="0" w:color="auto"/>
            <w:right w:val="none" w:sz="0" w:space="0" w:color="auto"/>
          </w:divBdr>
          <w:divsChild>
            <w:div w:id="961424435">
              <w:marLeft w:val="0"/>
              <w:marRight w:val="0"/>
              <w:marTop w:val="0"/>
              <w:marBottom w:val="0"/>
              <w:divBdr>
                <w:top w:val="single" w:sz="4" w:space="0" w:color="CCCCCC"/>
                <w:left w:val="single" w:sz="4" w:space="0" w:color="CCCCCC"/>
                <w:bottom w:val="single" w:sz="4" w:space="5" w:color="CCCCCC"/>
                <w:right w:val="single" w:sz="4" w:space="0" w:color="CCCCCC"/>
              </w:divBdr>
              <w:divsChild>
                <w:div w:id="1070079169">
                  <w:marLeft w:val="0"/>
                  <w:marRight w:val="0"/>
                  <w:marTop w:val="218"/>
                  <w:marBottom w:val="0"/>
                  <w:divBdr>
                    <w:top w:val="none" w:sz="0" w:space="0" w:color="auto"/>
                    <w:left w:val="none" w:sz="0" w:space="0" w:color="auto"/>
                    <w:bottom w:val="none" w:sz="0" w:space="0" w:color="auto"/>
                    <w:right w:val="none" w:sz="0" w:space="0" w:color="auto"/>
                  </w:divBdr>
                  <w:divsChild>
                    <w:div w:id="99642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9</Pages>
  <Words>473</Words>
  <Characters>2697</Characters>
  <Application>Microsoft Office Word</Application>
  <DocSecurity>0</DocSecurity>
  <Lines>22</Lines>
  <Paragraphs>6</Paragraphs>
  <ScaleCrop>false</ScaleCrop>
  <Company/>
  <LinksUpToDate>false</LinksUpToDate>
  <CharactersWithSpaces>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LENOVO</cp:lastModifiedBy>
  <cp:revision>2</cp:revision>
  <dcterms:created xsi:type="dcterms:W3CDTF">2018-12-26T05:35:00Z</dcterms:created>
  <dcterms:modified xsi:type="dcterms:W3CDTF">2019-01-02T07:03:00Z</dcterms:modified>
</cp:coreProperties>
</file>