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bottom w:val="none" w:color="auto" w:sz="0" w:space="0"/>
        </w:pBdr>
        <w:shd w:val="clear" w:fill="FFFFFF"/>
        <w:spacing w:line="240" w:lineRule="auto"/>
        <w:ind w:left="639" w:leftChars="303" w:hanging="3" w:firstLineChars="0"/>
        <w:jc w:val="center"/>
        <w:rPr>
          <w:rFonts w:ascii="微软雅黑" w:hAnsi="微软雅黑" w:eastAsia="微软雅黑" w:cs="微软雅黑"/>
          <w:i w:val="0"/>
          <w:iCs w:val="0"/>
          <w:caps w:val="0"/>
          <w:color w:val="000000"/>
          <w:spacing w:val="0"/>
          <w:sz w:val="36"/>
          <w:szCs w:val="36"/>
        </w:rPr>
      </w:pPr>
      <w:r>
        <w:rPr>
          <w:rFonts w:hint="eastAsia" w:ascii="微软雅黑" w:hAnsi="微软雅黑" w:eastAsia="微软雅黑" w:cs="微软雅黑"/>
          <w:i w:val="0"/>
          <w:iCs w:val="0"/>
          <w:caps w:val="0"/>
          <w:color w:val="000000"/>
          <w:spacing w:val="0"/>
          <w:kern w:val="0"/>
          <w:sz w:val="36"/>
          <w:szCs w:val="36"/>
          <w:shd w:val="clear" w:fill="FFFFFF"/>
          <w:lang w:val="en-US" w:eastAsia="zh-CN" w:bidi="ar"/>
        </w:rPr>
        <w:t>市住房城乡建设委关于公布天津市危险性较大分部分项工程论证专家库（第二批）专家名单的通知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639" w:leftChars="303" w:right="0" w:hanging="3" w:firstLineChars="0"/>
        <w:rPr>
          <w:rFonts w:hint="eastAsia" w:ascii="微软雅黑" w:hAnsi="微软雅黑" w:eastAsia="微软雅黑" w:cs="微软雅黑"/>
        </w:rPr>
      </w:pPr>
      <w:bookmarkStart w:id="0" w:name="_GoBack"/>
      <w:bookmarkEnd w:id="0"/>
      <w:r>
        <w:rPr>
          <w:rFonts w:hint="eastAsia" w:ascii="微软雅黑" w:hAnsi="微软雅黑" w:eastAsia="微软雅黑" w:cs="微软雅黑"/>
          <w:i w:val="0"/>
          <w:iCs w:val="0"/>
          <w:caps w:val="0"/>
          <w:color w:val="3A3A3A"/>
          <w:spacing w:val="0"/>
          <w:sz w:val="21"/>
          <w:szCs w:val="21"/>
          <w:bdr w:val="none" w:color="auto" w:sz="0" w:space="0"/>
          <w:shd w:val="clear" w:fill="FFFFFF"/>
        </w:rPr>
        <w:t>各区住建委，各集团（总）公司，各有关单位：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844" w:leftChars="402" w:right="0" w:firstLine="415" w:firstLineChars="198"/>
        <w:rPr>
          <w:rFonts w:hint="eastAsia" w:ascii="微软雅黑" w:hAnsi="微软雅黑" w:eastAsia="微软雅黑" w:cs="微软雅黑"/>
        </w:rPr>
      </w:pPr>
      <w:r>
        <w:rPr>
          <w:rFonts w:hint="eastAsia" w:ascii="微软雅黑" w:hAnsi="微软雅黑" w:eastAsia="微软雅黑" w:cs="微软雅黑"/>
          <w:i w:val="0"/>
          <w:iCs w:val="0"/>
          <w:caps w:val="0"/>
          <w:color w:val="3A3A3A"/>
          <w:spacing w:val="0"/>
          <w:sz w:val="21"/>
          <w:szCs w:val="21"/>
          <w:bdr w:val="none" w:color="auto" w:sz="0" w:space="0"/>
          <w:shd w:val="clear" w:fill="FFFFFF"/>
        </w:rPr>
        <w:t>按照住建部《危险性较大的分部分项工程安全管理规定》（第37号令）和《关于实施&lt;危险性较大的分部分项工程安全管理规定&gt;有关问题的通知》（建质办〔2018〕31号），市住建委组织了第二批危险性较大分部分项工程论证专家征集评审工作，通过专家库同业组长专家推荐和申请人所在单位组织申报，经专家评审小组资格评议审查和社会公示，确定了天津市危险性较大分部分项工程论证专家库（第二批）专家名单，共72人，现予公布（见附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844" w:leftChars="402" w:right="0" w:firstLine="415" w:firstLineChars="198"/>
        <w:rPr>
          <w:rFonts w:hint="eastAsia" w:ascii="微软雅黑" w:hAnsi="微软雅黑" w:eastAsia="微软雅黑" w:cs="微软雅黑"/>
        </w:rPr>
      </w:pPr>
      <w:r>
        <w:rPr>
          <w:rFonts w:hint="eastAsia" w:ascii="微软雅黑" w:hAnsi="微软雅黑" w:eastAsia="微软雅黑" w:cs="微软雅黑"/>
          <w:i w:val="0"/>
          <w:iCs w:val="0"/>
          <w:caps w:val="0"/>
          <w:color w:val="3A3A3A"/>
          <w:spacing w:val="0"/>
          <w:sz w:val="21"/>
          <w:szCs w:val="21"/>
          <w:bdr w:val="none" w:color="auto" w:sz="0" w:space="0"/>
          <w:shd w:val="clear" w:fill="FFFFFF"/>
        </w:rPr>
        <w:t>请入库专家认真执行住建部及市住建委关于危险性较大分部分项工程管理有关规定，认真履行专家职责，确保诚实守信、严谨客观、廉洁自律。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526" w:afterAutospacing="0" w:line="525" w:lineRule="atLeast"/>
        <w:ind w:left="844" w:leftChars="402" w:right="0" w:firstLine="415" w:firstLineChars="198"/>
        <w:rPr>
          <w:rFonts w:hint="eastAsia" w:ascii="微软雅黑" w:hAnsi="微软雅黑" w:eastAsia="微软雅黑" w:cs="微软雅黑"/>
        </w:rPr>
      </w:pPr>
      <w:r>
        <w:rPr>
          <w:rFonts w:hint="eastAsia" w:ascii="微软雅黑" w:hAnsi="微软雅黑" w:eastAsia="微软雅黑" w:cs="微软雅黑"/>
          <w:i w:val="0"/>
          <w:iCs w:val="0"/>
          <w:caps w:val="0"/>
          <w:color w:val="3A3A3A"/>
          <w:spacing w:val="0"/>
          <w:sz w:val="21"/>
          <w:szCs w:val="21"/>
          <w:bdr w:val="none" w:color="auto" w:sz="0" w:space="0"/>
          <w:shd w:val="clear" w:fill="FFFFFF"/>
        </w:rPr>
        <w:t>施工单位组织危险性较大分部分项工程专家论证，专家应当从市住建委公布的专家库（第一批、第二批）相关专业中选取，所选专家不得与本工程有利害关系。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5" w:lineRule="atLeast"/>
        <w:ind w:left="639" w:leftChars="303" w:right="0" w:hanging="3" w:firstLineChars="0"/>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3A3A3A"/>
          <w:spacing w:val="0"/>
          <w:sz w:val="21"/>
          <w:szCs w:val="21"/>
          <w:bdr w:val="none" w:color="auto" w:sz="0" w:space="0"/>
          <w:shd w:val="clear" w:fill="FFFFFF"/>
        </w:rPr>
        <w:t>联系电话：022-24218213</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5" w:lineRule="atLeast"/>
        <w:ind w:left="639" w:leftChars="303" w:right="0" w:hanging="3" w:firstLineChars="0"/>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3A3A3A"/>
          <w:spacing w:val="0"/>
          <w:sz w:val="21"/>
          <w:szCs w:val="21"/>
          <w:bdr w:val="none" w:color="auto" w:sz="0" w:space="0"/>
          <w:shd w:val="clear" w:fill="FFFFFF"/>
        </w:rPr>
        <w:t>联系人：王黎</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5" w:lineRule="atLeast"/>
        <w:ind w:left="639" w:leftChars="303" w:right="0" w:hanging="3" w:firstLineChars="0"/>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3A3A3A"/>
          <w:spacing w:val="0"/>
          <w:sz w:val="21"/>
          <w:szCs w:val="21"/>
          <w:bdr w:val="none" w:color="auto" w:sz="0" w:space="0"/>
          <w:shd w:val="clear" w:fill="FFFFFF"/>
        </w:rPr>
        <w:t>附件：天津市危险性较大分部分项工程论证专家库（第二批）专家名单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5" w:lineRule="atLeast"/>
        <w:ind w:left="639" w:leftChars="303" w:right="0" w:hanging="3" w:firstLineChars="0"/>
        <w:jc w:val="right"/>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3A3A3A"/>
          <w:spacing w:val="0"/>
          <w:sz w:val="21"/>
          <w:szCs w:val="21"/>
          <w:bdr w:val="none" w:color="auto" w:sz="0" w:space="0"/>
          <w:shd w:val="clear" w:fill="FFFFFF"/>
        </w:rPr>
        <w:t>2020年6月17日</w:t>
      </w:r>
    </w:p>
    <w:p>
      <w:pPr>
        <w:ind w:left="639" w:leftChars="303" w:hanging="3" w:firstLineChars="0"/>
        <w:rPr>
          <w:rFonts w:hint="eastAsia" w:ascii="微软雅黑" w:hAnsi="微软雅黑" w:eastAsia="微软雅黑" w:cs="微软雅黑"/>
          <w:i w:val="0"/>
          <w:iCs w:val="0"/>
          <w:caps w:val="0"/>
          <w:color w:val="3A3A3A"/>
          <w:spacing w:val="0"/>
          <w:sz w:val="21"/>
          <w:szCs w:val="21"/>
          <w:shd w:val="clear" w:fill="FFFFFF"/>
        </w:rPr>
      </w:pPr>
      <w:r>
        <w:rPr>
          <w:rFonts w:hint="eastAsia" w:ascii="微软雅黑" w:hAnsi="微软雅黑" w:eastAsia="微软雅黑" w:cs="微软雅黑"/>
          <w:i w:val="0"/>
          <w:iCs w:val="0"/>
          <w:caps w:val="0"/>
          <w:color w:val="3A3A3A"/>
          <w:spacing w:val="0"/>
          <w:sz w:val="21"/>
          <w:szCs w:val="21"/>
          <w:shd w:val="clear" w:fill="FFFFFF"/>
        </w:rPr>
        <w:t>附件：</w:t>
      </w:r>
    </w:p>
    <w:p>
      <w:pPr>
        <w:keepNext w:val="0"/>
        <w:keepLines w:val="0"/>
        <w:widowControl/>
        <w:suppressLineNumbers w:val="0"/>
        <w:ind w:left="639" w:leftChars="303" w:hanging="3" w:firstLineChars="0"/>
        <w:jc w:val="center"/>
        <w:textAlignment w:val="center"/>
        <w:rPr>
          <w:rFonts w:hint="eastAsia" w:ascii="黑体" w:hAnsi="宋体" w:eastAsia="黑体" w:cs="黑体"/>
          <w:b/>
          <w:bCs/>
          <w:i w:val="0"/>
          <w:iCs w:val="0"/>
          <w:color w:val="000000"/>
          <w:kern w:val="0"/>
          <w:sz w:val="40"/>
          <w:szCs w:val="40"/>
          <w:u w:val="none"/>
          <w:bdr w:val="none" w:color="auto" w:sz="0" w:space="0"/>
          <w:lang w:val="en-US" w:eastAsia="zh-CN" w:bidi="ar"/>
        </w:rPr>
        <w:sectPr>
          <w:pgSz w:w="11906" w:h="16838"/>
          <w:pgMar w:top="1440" w:right="1800" w:bottom="1440" w:left="760" w:header="851" w:footer="992" w:gutter="0"/>
          <w:cols w:space="425" w:num="1"/>
          <w:docGrid w:type="lines" w:linePitch="312" w:charSpace="0"/>
        </w:sectPr>
      </w:pPr>
    </w:p>
    <w:tbl>
      <w:tblPr>
        <w:tblW w:w="123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885"/>
        <w:gridCol w:w="1290"/>
        <w:gridCol w:w="750"/>
        <w:gridCol w:w="3915"/>
        <w:gridCol w:w="1005"/>
        <w:gridCol w:w="2910"/>
        <w:gridCol w:w="15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065" w:hRule="atLeast"/>
        </w:trPr>
        <w:tc>
          <w:tcPr>
            <w:tcW w:w="12315" w:type="dxa"/>
            <w:gridSpan w:val="7"/>
            <w:tcBorders>
              <w:top w:val="nil"/>
              <w:left w:val="nil"/>
              <w:bottom w:val="nil"/>
              <w:right w:val="nil"/>
            </w:tcBorders>
            <w:shd w:val="clear"/>
            <w:noWrap/>
            <w:vAlign w:val="center"/>
          </w:tcPr>
          <w:p>
            <w:pPr>
              <w:keepNext w:val="0"/>
              <w:keepLines w:val="0"/>
              <w:widowControl/>
              <w:suppressLineNumbers w:val="0"/>
              <w:jc w:val="center"/>
              <w:textAlignment w:val="center"/>
              <w:rPr>
                <w:rFonts w:ascii="黑体" w:hAnsi="宋体" w:eastAsia="黑体" w:cs="黑体"/>
                <w:b/>
                <w:bCs/>
                <w:i w:val="0"/>
                <w:iCs w:val="0"/>
                <w:color w:val="000000"/>
                <w:sz w:val="40"/>
                <w:szCs w:val="40"/>
                <w:u w:val="none"/>
              </w:rPr>
            </w:pPr>
            <w:r>
              <w:rPr>
                <w:rFonts w:hint="eastAsia" w:ascii="黑体" w:hAnsi="宋体" w:eastAsia="黑体" w:cs="黑体"/>
                <w:b/>
                <w:bCs/>
                <w:i w:val="0"/>
                <w:iCs w:val="0"/>
                <w:color w:val="000000"/>
                <w:kern w:val="0"/>
                <w:sz w:val="40"/>
                <w:szCs w:val="40"/>
                <w:u w:val="none"/>
                <w:bdr w:val="none" w:color="auto" w:sz="0" w:space="0"/>
                <w:lang w:val="en-US" w:eastAsia="zh-CN" w:bidi="ar"/>
              </w:rPr>
              <w:t>天津市危险性较大分部分项工程论证专家库（第二批）专家名单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8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序号</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姓名</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性别</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工作单位</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职称</w:t>
            </w:r>
          </w:p>
        </w:tc>
        <w:tc>
          <w:tcPr>
            <w:tcW w:w="291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论证类别</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专业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韩振勇</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天津市城建设计院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刘旭锴</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天津市市政工程设计研究院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焦莹</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中国建筑第六工程局有限公司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周冠南</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中铁现代勘察设计院有限公司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李养平</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中建（天津）轨道交通投资发展有限公司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李晓勇</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天津市地下铁道集团有限公司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刘大亭</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中国铁建六号线指挥部</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王守立</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中铁十八局集团第五工程有限公司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张稳军</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天津大学</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副教授</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学术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王焰华</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天津市市政工程设计研究院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徐彦举</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中国第六勘察设计院集团有限公司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董秀竹</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女</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中国铁路设计集团有限公司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李学峥</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天津市市政工程设计研究院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王强</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中铁现代勘察设计院有限公司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项军</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天津市地下铁道集团有限公司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程道辉</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天津市地下铁道集团有限公司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李宇航</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中铁十八局集团第五工程有限公司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敖岩</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中铁三局集团天津建设工程有限公司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李建高</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中铁隧道局集团有限公司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迟敬来</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中铁一局集团天津建设工程有限公司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仲志武</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中国铁建六号线指挥部</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城市轨道交通隧道工程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鹿群</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天津城建大学</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教授</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学术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韩亮</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天津原位物探科技有限公司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监测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孙怀军</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天津市勘察院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蔡克俭</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天津市勘察院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监测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26</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宋扬</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天津中怡建筑规划设计有限公司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27</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杜关记</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天津海滨工程勘察设计有限公司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28</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樊继良</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天津华铁工程咨询有限公司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29</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冯海涛</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天津大学建筑设计研究院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刘金涛</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天津市建筑设计院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31</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刘学论</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天津海滨工程勘察设计有限公司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32</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王莹</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女</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四川省川建勘察设计院天津分院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崔建章</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天津泰达建设集团有限公司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刘卫未</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中建一局集团建设发展有限公司</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刘晓敏</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中国建筑第六工程局有限公司</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宋凯</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天津二建建筑工程有限公司</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深基础工程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37</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刘京红</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女</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天津城建大学土木工程学院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教授</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学术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孟祥良</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天津大学建筑设计研究总院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39</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安鹏</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天津第四市政建筑工程有限公司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刘杰</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天津三建建筑工程有限公司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刘晓华</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河北建工集团责任有限公司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余 流</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中国建筑第六工程局有限公司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常建梅</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女</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中铁十八局集团有限公司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沈华勇</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天津二建建筑工程有限公司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石子建</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天津市建工工程总承包有限公司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46</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宋俊杰</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中建三局第三建设工程有限责任公司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张海乔</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中建三局集团有限公司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赵虎</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天津市建工工程总承包有限公司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赵菁</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天津市建工集团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陈学光</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中建八局华北公司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李兵兵</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中铁建设集团有限公司华北分公司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刘会铁</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天津安成工程咨询有限公司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53</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成永旭</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中冶天工集团有限公司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模板支撑架与脚手架工程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刘凯铭</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中冶天工集团有限公司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起重吊装与机械安拆工程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田贵州</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上海市基础工程集团有限公司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起重吊装与机械安拆工程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56</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张振宇</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天津市建工工程总承包有限公司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起重吊装与机械安拆工程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57</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冯宝军</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天津市地铁集团有限公司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起重吊装与机械安拆工程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58</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杜军科</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中冶天工集团有限公司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起重吊装与机械安拆工程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59</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米万富</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中铁六局集团天津铁路建设有限公司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起重吊装与机械安拆工程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60</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裴超</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中铁隧道局集团有限公司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起重吊装与机械安拆工程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61</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冯树杰</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天津市圣方幕墙装饰工程有限公司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幕墙工程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62</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周申彬</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中国建筑第八工程局有限公司华北公司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幕墙工程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李勇</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莱恩（天津）门窗有限公司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幕墙工程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64</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张海川</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天津市建筑科学研究院有限公司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幕墙工程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65</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郑家鹏</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天津华惠安信装饰工程有限公司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幕墙工程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66</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高文宇</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中冶天工集团有限公司渤海分公司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幕墙工程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67</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郭俊梅</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女</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中冶天工集团有限公司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钢结构工程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68</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曹爽秋</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天津建工科技有限公司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正高</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钢结构工程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施工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69</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刘红波</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天津大学建筑工程学院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教授</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钢结构工程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学术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70</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王子英</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39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天津市房屋安全质量鉴定检测中心有限公司</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高工</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钢结构工程</w:t>
            </w:r>
          </w:p>
        </w:tc>
        <w:tc>
          <w:tcPr>
            <w:tcW w:w="15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监测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71</w:t>
            </w:r>
          </w:p>
        </w:tc>
        <w:tc>
          <w:tcPr>
            <w:tcW w:w="129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尹越</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男</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天津大学建筑工程学院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副教授</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钢结构工程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学术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芦</w:t>
            </w:r>
            <w:r>
              <w:rPr>
                <w:rStyle w:val="5"/>
                <w:bdr w:val="none" w:color="auto" w:sz="0" w:space="0"/>
                <w:lang w:val="en-US" w:eastAsia="zh-CN" w:bidi="ar"/>
              </w:rPr>
              <w:t xml:space="preserve">  燕</w:t>
            </w:r>
          </w:p>
        </w:tc>
        <w:tc>
          <w:tcPr>
            <w:tcW w:w="7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女</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天津大学建筑工程学院</w:t>
            </w:r>
          </w:p>
        </w:tc>
        <w:tc>
          <w:tcPr>
            <w:tcW w:w="10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副教授</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钢结构工程</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学术</w:t>
            </w:r>
          </w:p>
        </w:tc>
      </w:tr>
    </w:tbl>
    <w:p>
      <w:pPr>
        <w:rPr>
          <w:rFonts w:hint="eastAsia" w:ascii="微软雅黑" w:hAnsi="微软雅黑" w:eastAsia="微软雅黑" w:cs="微软雅黑"/>
          <w:i w:val="0"/>
          <w:iCs w:val="0"/>
          <w:caps w:val="0"/>
          <w:color w:val="3A3A3A"/>
          <w:spacing w:val="0"/>
          <w:sz w:val="21"/>
          <w:szCs w:val="21"/>
          <w:shd w:val="clear" w:fill="FFFFFF"/>
        </w:rPr>
      </w:pPr>
    </w:p>
    <w:sectPr>
      <w:pgSz w:w="16838" w:h="11906" w:orient="landscape"/>
      <w:pgMar w:top="1180" w:right="1440" w:bottom="1803" w:left="2300" w:header="851" w:footer="992" w:gutter="0"/>
      <w:paperSrc/>
      <w:cols w:space="0" w:num="1"/>
      <w:rtlGutter w:val="0"/>
      <w:docGrid w:type="lines" w:linePitch="32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1"/>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15C33647"/>
    <w:rsid w:val="15C33647"/>
    <w:rsid w:val="57F822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customStyle="1" w:styleId="5">
    <w:name w:val="font11"/>
    <w:basedOn w:val="4"/>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2607</Words>
  <Characters>2691</Characters>
  <Lines>0</Lines>
  <Paragraphs>0</Paragraphs>
  <TotalTime>19</TotalTime>
  <ScaleCrop>false</ScaleCrop>
  <LinksUpToDate>false</LinksUpToDate>
  <CharactersWithSpaces>2694</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2022-05-18T02:23:00Z</dcterms:created>
  <dc:creator>清风</dc:creator>
  <cp:lastModifiedBy>清风</cp:lastModifiedBy>
  <dcterms:modified xsi:type="dcterms:W3CDTF">2022-05-18T02:42:35Z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74260F3EED094520A807C28EA3F12F51</vt:lpwstr>
  </property>
</Properties>
</file>