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kern w:val="0"/>
          <w:sz w:val="36"/>
          <w:szCs w:val="36"/>
          <w:bdr w:val="none" w:color="auto" w:sz="0" w:space="0"/>
          <w:lang w:val="en-US" w:eastAsia="zh-CN" w:bidi="ar"/>
        </w:rPr>
        <w:t>国务院安委会办公室关于印发 《国家安全发展示范城市建设指导手册》的通知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rFonts w:hint="eastAsia" w:ascii="微软雅黑" w:hAnsi="微软雅黑" w:eastAsia="微软雅黑" w:cs="微软雅黑"/>
          <w:b/>
          <w:bCs/>
          <w:i w:val="0"/>
          <w:iCs w:val="0"/>
          <w:caps w:val="0"/>
          <w:color w:val="666666"/>
          <w:spacing w:val="0"/>
          <w:sz w:val="27"/>
          <w:szCs w:val="27"/>
        </w:rPr>
      </w:pPr>
      <w:r>
        <w:rPr>
          <w:rFonts w:hint="eastAsia" w:ascii="微软雅黑" w:hAnsi="微软雅黑" w:eastAsia="微软雅黑" w:cs="微软雅黑"/>
          <w:b/>
          <w:bCs/>
          <w:i w:val="0"/>
          <w:iCs w:val="0"/>
          <w:caps w:val="0"/>
          <w:color w:val="666666"/>
          <w:spacing w:val="0"/>
          <w:kern w:val="0"/>
          <w:sz w:val="27"/>
          <w:szCs w:val="27"/>
          <w:bdr w:val="none" w:color="auto" w:sz="0" w:space="0"/>
          <w:lang w:val="en-US" w:eastAsia="zh-CN" w:bidi="ar"/>
        </w:rPr>
        <w:t>安委办函〔2020〕56号</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各省、自治区、直辖市及新疆生产建设兵团安全生产委员会，国务院安委会各成员单位：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为推进国家安全发展示范城市建设，依据《国家安全发展示范城市评价细则（2019版）》《国家安全发展示范城市评分标准（2019版）》等要求，国务院安委会办公室制定了《国家安全发展示范城市建设指导手册》，现印发你们。请各地区切实加强组织领导，以国家安全发展示范城市创建工作为抓手，推动全面提高城市安全保障水平。在创建过程中遇到的问题和意见建议，请及时反馈国务院安委会办公室（联系人及电话：倪坤，010-64463730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jc w:val="right"/>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国务院安委会办公室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jc w:val="right"/>
        <w:rPr>
          <w:rFonts w:hint="eastAsia" w:ascii="宋体" w:hAnsi="宋体" w:eastAsia="宋体" w:cs="宋体"/>
          <w:i w:val="0"/>
          <w:iCs w:val="0"/>
          <w:caps w:val="0"/>
          <w:color w:val="333333"/>
          <w:spacing w:val="0"/>
          <w:sz w:val="31"/>
          <w:szCs w:val="31"/>
          <w:bdr w:val="none" w:color="auto" w:sz="0" w:space="0"/>
        </w:rPr>
      </w:pPr>
      <w:r>
        <w:rPr>
          <w:rFonts w:hint="eastAsia" w:ascii="宋体" w:hAnsi="宋体" w:eastAsia="宋体" w:cs="宋体"/>
          <w:i w:val="0"/>
          <w:iCs w:val="0"/>
          <w:caps w:val="0"/>
          <w:color w:val="333333"/>
          <w:spacing w:val="0"/>
          <w:sz w:val="31"/>
          <w:szCs w:val="31"/>
          <w:bdr w:val="none" w:color="auto" w:sz="0" w:space="0"/>
        </w:rPr>
        <w:t>2020年9月14日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jc w:val="right"/>
        <w:rPr>
          <w:rFonts w:hint="eastAsia" w:ascii="宋体" w:hAnsi="宋体" w:eastAsia="宋体" w:cs="宋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jc w:val="right"/>
        <w:rPr>
          <w:rFonts w:hint="default" w:ascii="宋体" w:hAnsi="宋体" w:eastAsia="宋体" w:cs="宋体"/>
          <w:i w:val="0"/>
          <w:iCs w:val="0"/>
          <w:caps w:val="0"/>
          <w:color w:val="333333"/>
          <w:spacing w:val="0"/>
          <w:sz w:val="31"/>
          <w:szCs w:val="31"/>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5" w:lineRule="atLeast"/>
        <w:ind w:left="0" w:right="0"/>
        <w:jc w:val="center"/>
        <w:textAlignment w:val="auto"/>
        <w:rPr>
          <w:rFonts w:hint="default" w:ascii="Times New Roman" w:hAnsi="Times New Roman" w:cs="Times New Roman"/>
          <w:sz w:val="21"/>
          <w:szCs w:val="21"/>
        </w:rPr>
      </w:pPr>
      <w:r>
        <w:rPr>
          <w:rStyle w:val="5"/>
          <w:rFonts w:hint="eastAsia" w:ascii="宋体" w:hAnsi="宋体" w:eastAsia="宋体" w:cs="宋体"/>
          <w:b/>
          <w:bCs/>
          <w:i w:val="0"/>
          <w:iCs w:val="0"/>
          <w:caps w:val="0"/>
          <w:color w:val="333333"/>
          <w:spacing w:val="0"/>
          <w:sz w:val="40"/>
          <w:szCs w:val="40"/>
          <w:bdr w:val="none" w:color="auto" w:sz="0" w:space="0"/>
        </w:rPr>
        <w:t>国家安全发展示范城市建设指导手册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5" w:lineRule="atLeast"/>
        <w:ind w:left="0" w:right="0"/>
        <w:jc w:val="center"/>
        <w:textAlignment w:val="auto"/>
        <w:rPr>
          <w:rFonts w:hint="default" w:ascii="Times New Roman" w:hAnsi="Times New Roman" w:cs="Times New Roman"/>
          <w:sz w:val="21"/>
          <w:szCs w:val="21"/>
        </w:rPr>
      </w:pPr>
      <w:r>
        <w:rPr>
          <w:rStyle w:val="5"/>
          <w:rFonts w:hint="eastAsia" w:ascii="宋体" w:hAnsi="宋体" w:eastAsia="宋体" w:cs="宋体"/>
          <w:b/>
          <w:bCs/>
          <w:i w:val="0"/>
          <w:iCs w:val="0"/>
          <w:caps w:val="0"/>
          <w:color w:val="333333"/>
          <w:spacing w:val="0"/>
          <w:sz w:val="31"/>
          <w:szCs w:val="31"/>
          <w:bdr w:val="none" w:color="auto" w:sz="0" w:space="0"/>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jc w:val="center"/>
        <w:rPr>
          <w:rFonts w:hint="default" w:ascii="Times New Roman" w:hAnsi="Times New Roman" w:cs="Times New Roman"/>
          <w:sz w:val="21"/>
          <w:szCs w:val="21"/>
        </w:rPr>
      </w:pPr>
      <w:r>
        <w:rPr>
          <w:rFonts w:hint="default" w:ascii="Times New Roman" w:hAnsi="Times New Roman" w:cs="Times New Roman"/>
          <w:i w:val="0"/>
          <w:iCs w:val="0"/>
          <w:caps w:val="0"/>
          <w:color w:val="333333"/>
          <w:spacing w:val="0"/>
          <w:sz w:val="21"/>
          <w:szCs w:val="21"/>
          <w:bdr w:val="none" w:color="auto" w:sz="0" w:space="0"/>
        </w:rPr>
        <w:drawing>
          <wp:inline distT="0" distB="0" distL="114300" distR="114300">
            <wp:extent cx="4792980" cy="7336155"/>
            <wp:effectExtent l="0" t="0" r="7620" b="17145"/>
            <wp:docPr id="6" name="图片 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59"/>
                    <pic:cNvPicPr>
                      <a:picLocks noChangeAspect="1"/>
                    </pic:cNvPicPr>
                  </pic:nvPicPr>
                  <pic:blipFill>
                    <a:blip r:embed="rId4"/>
                    <a:stretch>
                      <a:fillRect/>
                    </a:stretch>
                  </pic:blipFill>
                  <pic:spPr>
                    <a:xfrm>
                      <a:off x="0" y="0"/>
                      <a:ext cx="4792980" cy="733615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1.1 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为指导帮助各地区全面准确掌握《国家安全发展示范城市评价细则(2019版)》《国家安全发展示范城市评分标准(2019版)》的各项要求，对标对表做好国家安全发展示范城市创建工作，不断提升城市安全管理水平，依据相关法律法规标准,编制本手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1.2 编制依据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《中共中央 国务院关于推进安全生产领域改革发展的意见》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中共中央办公厅 国务院办公厅《关于推进城市安全发展的意见》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《中共中央 国务院关于推进防灾减灾救灾体制机制改革的意见》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《国家安全发展示范城市评价与管理办法》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《国家安全发展示范城市评价细则(2019版)》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《国家安全发展示范城市评分标准(2019版)》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1.3 适用范围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本手册适用于参与国家安全发展示范城市创建的副省级城市、地级行政区以及直辖市所辖行政区（县）。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 术语和定义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1.4.1 人员密集场所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公众聚集场所（宾馆、饭店、商场、集贸市场、客运车站候车室、客运码头候船厅、民用机场航站楼、体育场馆、会堂以及公共娱乐场所）、医院的门诊楼、病房楼，学校的教学楼、图书馆、食堂和集体宿舍，养老院，福利院，托儿所，幼儿园，公共图书馆的阅览室，公共展览馆、博物馆的展示厅，劳动密集型企业的生产加工车间和员工集体宿舍，旅游、宗教活动场所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1.4.2 大型群众性活动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法人或者其他组织面向社会公众举办的每场次预计参加人数达到1000人以上的体育比赛活动；演唱会、音乐会等文艺演出活动；展览、展销等活动；游园、灯会、庙会、花会、焰火晚会等活动；人才招聘会、现场开奖的彩票销售等活动（不包括影剧院、音乐厅、公园、娱乐场所等在其日常业务范围内举办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1.4.3 高层建筑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建筑高度大于27m的住宅建筑和建筑高度大于24m的非单层厂房、仓库和其他民用建筑。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1.4.4 城市新区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在旧有城区之外拟规划新建或已建成的具备相对独立性和完整性，具有新型城市景观，以某一个或某几个城市功能为主导的新城区。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1.4.5 危大工程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房屋建筑和市政基础设施工程在施工过程中，容易导致人员群死群伤或者造成重大经济损失的分部分项工程。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1.4.6 老旧房屋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建成于2000年以前、建设标准低、失修失养严重的房屋。列入老旧小区改造、棚户区改造的也属于老旧房屋的范畴。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1.4.7 功能区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各类开发区、工业园区、港区、旅游景区等。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1.4.8 城市地下管线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敷设于地下，用于传送能源、信息和排泄废物等的管道（沟、廊）、线缆等及其附属设施。按功能可分为给水、排水、燃气、热力、电力、通信、工业等。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1.4.9 综合管廊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综合管廊是指在城市地下用于集中敷设电力、通信、广播电视、给水、排水、热力、燃气等市政管线的公共隧道。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1.4.10 水文监测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通过水文站网对江河、湖泊、渠道、水库的水位、流量、水质、水温、泥沙、冰情、水下地形和地下水资源，以及降水量、蒸发量、墒情、风暴潮等实施监测，并进行分析和计算的活动。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1.4.11 消防车通道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为了救火需要，在城市规划设计中保证消防车通过的道路。包括城市各级道路、居住区和企事业单位内部道路、消防车取水通道、建筑物消防车通道等。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1.4.12 洪水风险图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直观反映洪水可能淹没区域、洪水风险要素空间分布特征或洪水风险管理信息的地图。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1.4.13 大型商业综合体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已建成并投入使用且建筑面积不小于5万平方米的商业综合体(集购物、住宿、餐饮、娱乐、展览、交通枢纽等两种或两种以上功能于一体的单体建筑和通过地下连片车库、地下连片商业空间、下沉式广场、连廊等方式连接的多栋商业建筑组合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1.4.14 综合客运枢纽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将两种及以上对外运输方式（铁路、公路、水路和航空等运输方式）与城市交通的客流转换场所在同一空间（或区域）内集中布设，实现设施设备、运输组织、公共信息等有效衔接的客运基础设施。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1.4.15 游乐设施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在特定的区域内运行，承载游客游乐的载体,包括具有动力的游乐器械，为游乐而设置的构筑物和其他附属装置以及无动力的游乐载体。游乐设施包括大型游乐设施和小型游乐设施。大型游乐设施是指用于经营目的，承载乘客游乐的设施，其范围规定为设计最大运行线速度大于或者等于2米/秒,或者运行高度距地面高于2米的载人大型游乐设施。小型游乐设施是指在公共场所使用，且不属于《特种设备目录》中规定的大型游乐设施，如滑梯、秋千、摇马、跷跷板、攀网、转椅、室内软体等游乐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1.4.16 易涝点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道路积水深度超过15厘米且持续一定时间，对城市交通造成一定影响的积水点。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1.4.17 社会应急力量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从事防灾减灾救灾的社会组织和城乡社区应急志愿者。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 城市安全源头治理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 城市安全规划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2.1.1 城市总体规划、应急体系规划及防灾减灾等专项规划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2.1.1.1 编制城市国土空间总体规划（城市总体规划），全面摸清并分析国土空间本底条件，划定城镇、农业、生态空间以及生态保护红线、永久基本农田、城镇开发边界，并以此为载体统筹协调各类空间管控手段，整合形成“多规合一”的空间规划。按照“多中心、多层级、多节点”的要求，合理控制中心城区人口密度，构筑有效预防和应对突发事件的空间体系。城乡规划布局、设计、建设、管理等各项工作必须以安全为前提，实行重大安全风险“一票否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2.1.1.2 编制应急体系规划，作为指导城市应急管理工作的总纲，推动构建统一领导、权责一致、权威高效的应急能力体系，提高保障生产安全、维护公共安全、防灾减灾救灾等方面的能力，确保人民生命财产安全和社会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2.1.1.3 编制综合防灾减灾规划、安全生产规划、防震减灾规划、地质灾害防治规划、防洪规划、职业病防治规划、消防规划、道路交通安全管理规划、排水防涝规划等专项规划。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2.1.1.4 加强规划内容多角度论证和多方案比选，充分考虑要素支撑条件、资源环境约束和重大风险防范等，科学测算、规划目标指标并做好平衡协调，深入论证重大工程、重大项目、重大政策实施的必要性、可行性和效果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2.1.1.5 规划编制部门要组织开展规划专家论证评审、规划实施年度监测分析、中期评估和总结评估,鼓励开展第三方评估,强化监测评估结果应用。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2.1.2 建设项目安全评估论证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2.1.2.1 矿山建设项目，生产、储存危险化学品（包括使用长输管道输送危险化学品）的建设项目，生产、储存烟花爆竹的建设项目，金属冶炼建设项目，使用危险化学品从事生产并且使用量达到《危险化学品使用量的数量标准（2013年版）》规定数量的化工建设项目（属于危险化学品生产的除外）开展安全预评价，编制安全预评价报告，安全设施设计内容采纳安全预评价报告中的安全对策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2.1.2.2 国家重大建设工程，受地震破坏后可能引发水灾、火灾、爆炸、剧毒或者强腐蚀性物质大量泄漏或者其他严重次生灾害的建设工程，包括水库大坝、堤防和贮油、贮气，贮存易燃易爆、剧毒或者强腐蚀性物质的设施以及其他可能发生严重次生灾害的建设工程，受地震破坏后可能引发放射性污染的核电站和核设施建设工程，省、自治区、直辖市认为对本行政区域有重大价值或者有重大影响的其他建设工程，需开展地震安全性评价，编制地震安全性评价报告，内容包括工程概况和地震安全性评价的技术要求、地震活动环境评价、地震地质构造评价、设防烈度或者设计地震动参数、地震地质灾害评价，项目施工设计采纳评价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2.1.2.3 在地质灾害易发区内进行工程建设，在可行性研究阶段开展地质灾害危险性评估，并采纳评价（评估）报告建议。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2.1.3 城市各类设施安全管理办法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各地根据行业或地方特点制修订城市高层建筑、大型商业综合体、综合交通枢纽、管线管廊、轨道交通、燃气工程、垃圾填埋场(渣土受纳场，含既有各类堆放、散放的弃土弃渣、垃圾场所)、电梯、游乐设施等城市设施安全管理办法（含地方性法规、行政规章和规范性文件），办法内有关安全和应急设施的各项要求不得低于国家标准，增强抵御事故风险、保障安全运行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 城市基础及安全设施建设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2.2.1 市政安全设施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2.2.1.1 定期开展辖区范围市政消火栓（消防水鹤）检查，检查程序和记录规范，及时维修或更换不能正常使用的消火栓（消防水鹤），定期进行维护保养，确保能够100%正常使用。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2.2.1.2 加强城市周边森林山地防火道路、储水池、消防栓、输水管线等基础设施建设，种植防火林带、开设防火隔离带，严防“家火上山”和“山火进城”。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2.2.1.3 各地结合本地市政管线设施建设现状，制定城市供水、供热和燃气老旧管网改造计划，有序开展老旧管网升级改造工作。重点改造运行年限30年以上或材质落后、管道老化腐蚀严重、接口渗漏或存在泄漏等隐患的供水、热力老旧管网和使用年限超过30年的灰口铸铁管、镀锌钢管（经评估可以继续使用的除外），或存在泄漏、机械接口渗漏、腐蚀脆化严重等问题的燃气老旧管网。老旧的供水、供热和燃气管道改造率达到80%及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2.2.2 消防站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2.2.2.1 按照《城市消防站建设标准》（建标152-2017）的要求，消防站的布局一般应以接到出动指令5min内消防队可以到达消防站的辖区边缘为原则确定。消防站的辖区面积按下列原则确定：（1）设在城市的消防站，一级站不宜大于7km2，二级站不宜大于4km2，小型站不宜大于2km2；设在近郊区的普通站不应大于15km2。也可针对城市的火灾风险，通过评估方法确定消防站辖区面积。（2）特勤站兼有辖区灭火救援任务的，其辖区面积同一级站。（3）战勤保障站不宜单独划分辖区面积。消防站的选址应符合下列条件：（1）应设在辖区内适中位置和便于车辆迅速出动的临街地段，并应尽量靠近城市应急救援通道。（2）消防站执勤车辆主出入口两侧宜设置交通信号灯、标志、标线等设施，距医院、学校、幼儿园、托儿所、影剧院、商场、体育场馆、展览馆等公共建筑的主要疏散出口不应小于50m。（3）辖区内有生产、贮存危险化学品单位的，消防站应设置在常年主导风向的上风或侧风处，其边界距上述危险部位一般不宜小于300m。（4）消防站车库门应朝向城市道路，后退红线不宜小于15m，合建的小型站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2.2.2.2 根据城市国土空间总体规划、消防专项规划合理制定消防站建设年度规划，确定建设用地面积之比和建筑面积指标，划拨专项资金，确保消防站车库车位数、场地（普通站和特勤站场地室外训练场、道路、绿地，战勤保障站自卸模块堆放场）、房屋建筑（业务用房、业务附属用房和辅助用房）和装备符合建设规模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2.2.2.3 开展消防站消防通信设施（火灾受理终端、指挥信息管理终端、电话机、无线一级网固定电台、大屏幕显示设备、火警广播设备、视频设备）日常维护工作，完好率大于95%。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2.2.2.4 消防站及特勤站中的消防车（灭火消防车、举高消防车、专勤消防车、战勤保障消防车）、防护装备（消防头盔、消防员灭火防护服、消防手套、消防安全腰带、消防员灭火防护靴、正压式消防空气呼吸器、佩戴式防爆照明灯、消防员呼救器、消防员方位灯、应急逃生自救安全绳等）、抢险救援器材（特勤站侦检器材、警戒器材、破拆器材、救生器材、堵漏器材、输转器材、洗消器材、照明器材、排烟器材和其他及普通站消防器材）和灭火器材（普通站和特勤站机动消防泵、移动式水带卷盘、移动式消防炮、泡沫比例混合器、拉梯、拉钩梯、水带等器材）符合标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2.2.3 道路交通安全设施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2.2.3.1 双向六车道及以上的道路，依据《城市道路交通设施设计规范》（GB50688-2011）（2019年版）设置分隔设施，当无中央分隔带且不设防撞护栏时，应在中间带设分隔栏杆，栏杆净高不宜低于1.10米;在有行人穿行的断口处，应逐渐降低护栏高度，且不高于0.70米,降低后的长度不应小于停车视距；断口处应设置分隔柱。加强道路分隔栏日常维护，确保道路分隔栏全部正常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2.2.3.2 桥梁要设置限高、限重标识，加强日常维护保养，确保安全标识完整清晰。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2.2.3.3 中心城区中小学校、幼儿园周边150米范围内，按照《中小学与幼儿园校园周边道路交通设施设置规范》（GA/T 1215-2014）要求设置交通信号灯、交通标志和标线、人行设施、分隔设施、停车设施、监控设施、照明设施等交通安全设施，并加强维护，确保安全设施完好、清晰。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2.2.4 城市防洪排涝安全设施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2.2.4.1 堤防工程的防洪标准，根据其保护对象或防洪保护区的防洪标准，以及流域规划的要求分析确定。蓄、滞洪区堤防工程的防洪标准根据流域规划的要求分析确定。堤防工程上的闸、涵、泵站等建筑物及其他构筑物的设计防洪标准，不应低于堤防工程的防洪标准，并应留有安全裕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2.2.4.2 城市排水主管部门要组织对城市易涝点进行防涝改造，编制整改方案并按计划完成防涝改造任务。对排涝泵站、污水厂（站）、涵闸等设施设备管护责任落实情况进行重点检查；对立交桥下、低洼地带棚户区及易涝区域的汛期值守、现场管控责任落实情况进行重点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2.2.5 地下综合管廊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2.2.5.1 结合本地城市发展特点和道路建设规划，参照《城市地下综合管廊建设规划技术导则》（建办城函〔2019〕363号）编制综合管廊建设规划，并按程序审批。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2.2.5.2 推进综合管廊建设，城市新区新建道路综合管廊建设率不小于30%，城市市政道路综合管廊配建率不小于2%。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2.3 城市产业安全改造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2.3.1 城市禁止类产业目录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2.3.1.1 各地根据产业或地方特点制定本地安全生产禁止和限制类产业目录。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2.3.1.2 禁止性是指不允许新增固定资产投资项目，不允许新设立或新迁入法人单位、产业活动单位、个体工商户；限制性主要包括区域限制、规模限制和产业环节、工艺及产品限制。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2.3.2 高危行业搬迁改造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2.3.2.1 制定危险化学品企业退出、改造或转产等奖励政策、工作方案和计划。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2.3.2.2 加快城镇人口密集区危化品企业搬迁改造，严格落实危险化学品企业退出、改造或转产计划，确保不符合安全和卫生防护距离要求的危险化学品生产企业完成搬迁改造。其中：中小型企业和存在重大风险隐患的大型企业2020年底前完成搬迁改造；其他大型企业和特大型企业2020年底前全部启动搬迁改造，2025年底前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2.3.2.3 严格执行新建危险化学品生产企业入园要求，实现2017年以后新建危险化学品生产企业全部入园。鼓励大型园区或距离周边居民区较近的园区实行封闭管理。对暂时无法实行封闭管理的，应当首先对重大危险源和关键生产区域实行封闭化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 城市安全风险防控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 城市工业企业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3.1.1 危险化学品企业运行安全风险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3.1.1.1 依照《危险化学品重大危险源安全监控通用技术规范》（AQ3035-2010）和《国务院安委会办公室 应急管理部关于加快推进危险化学品安全生产风险监测预警系统建设的指导意见》（安委办〔2019〕11号）要求，危险化学品重大危险源的企业要建设完成视频和安全监控系统及危险化学品监测预警系统。监测监控对象包括危险化学品生产、储存、经营企业的值班监控中心，企业所有重大危险源（包括构成重大危险源的罐区、仓库、生产装置等）。监测监控数据应覆盖企业值班监控中心、企业重大危险源和重点部位的视频监控实时图像，企业重大危险源的重要监测数据和预警数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3.1.1.2 涉及重点监管危险化工工艺和危险化学品重大危险源的生产装置和储存设施按照《危险化学品安全管理条例》(国务院令第645号)，《国家安全监管总局关于加强化工安全仪表系统管理的指导意见》（安监总管三〔2014〕116号）规定安装安全仪表系统。从2018年1月1日起，所有新建涉及“两重点一重大”的化工装置和危险化学品储存设施要设计符合要求的安全仪表系统。其他新建化工装置、危险化学品储存设施安全仪表系统，从2020年1月1日起，应执行功能安全相关标准要求，设计符合要求的安全仪表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3.1.1.3 危险化学品生产装置或者储存数量构成重大危险源的危险化学品储存设施（运输工具加油站、加气站除外），与下列场所、设施、区域的距离应当符合国家有关规定：（1）居住区以及商业中心、公园等人员密集场所；（2）学校、医院、影剧院、体育场（馆）等公共设施；（3）饮用水源、水厂以及水源保护区；（4）车站、码头（依法经许可从事危险化学品装卸作业的除外）、机场以及通信干线、通信枢纽、铁路线路、道路交通干线、水路交通干线、地铁风亭以及地铁站出入口；（5）基本农田保护区、基本草原、畜禽遗传资源保护区、畜禽规模化养殖场（养殖小区）、渔业水域以及种子、种畜禽、水产苗种生产基地；（6）河流、湖泊、风景名胜区、自然保护区；（7）军事禁区、军事管理区；（8）法律、行政法规规定的其他场所、设施、区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3.1.1.4 按照《国务院安委会办公室关于深化硝酸铵等危化品生产企业和涉及爆炸性危险货物港口堆场等重大安全风险隐患排查治理的通知》（安委办明电〔2020〕19号）的要求，对硝酸铵等危化品生产企业，涉及爆炸性危险货物作业的港口，其他涉及可能产生爆炸事故的重点地区、港口码头、化工园区和企业等重大安全风险隐患进行“全覆盖”排查治理，建立问题隐患和整改任务“两个清单”，落实各项措施，确保整改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3.1.1.5 严格落实油气长输管道法定检验制度，依据法律法规、安全技术规范、强制性标准开展压力管道元件制造监督检验和型式试验、管道安装监督检验和在役管道定期检验等管道法定检验工作。推动开展管道完整性管理，不断提升管道质量安全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3.1.1.6 油气长输管道线路中心线两侧建构筑物距离符合《石油天然气管道保护法》要求,在油气长输管道线路中心线两侧规定地域范围内，禁止开展危害管道安全的生产作业和经济活动行为。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3.1.1.7 油气长输管道企业按照《油气输送管道完整性管理规范》（GB 32167-2015）,全面开展人员密集型高后果区识别和风险评价工作，编制人员密集型高后果区风险评价报告。人员密集型高后果区识别每隔18个月进行一次。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3.1.1.8 油气长输管道途径人员密集场所高后果区域安装全天候视频监控。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3.1.2 尾矿库、渣土受纳场运行安全风险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3.1.2.1 尾矿库构建安全风险管控体系，编制安全风险管控方案。每三年至少进行一次尾矿库安全现状评价。安全现状评价应当符合国家标准或者行业标准的要求。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3.1.2.2 生产经营单位应当建立完善尾矿库在线监测预警系统，湿式尾矿库应当至少对坝体位移、浸润线、库水位等进行在线监测和重要部位进行视频监控，干式尾矿库应当至少对坝体表面位移进行在线监测和重要部位进行视频监控。在线监测预警系统应当具有水情预警及坝体渗透破坏、坍塌预警功能。在线监测系统应正常运行，及时分类处置报警信息，汛期实施24小时监测监控和值班值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3.1.2.3 依照《建筑垃圾处理技术标准》（CJJ/T134-2019），堆填作业应控制填高速率，如果填高超过3m,且堆填速率超过3m/月，应对堆体和地基稳定性进行监测；垃圾坝体建筑级别为I、II类的，在初步设计阶段应进行坝体稳定性分析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3.1.3 建设施工作业安全风险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3.1.3.1 建设施工现场安装视频监控系统。施工现场摄像机的设置应符合下列规定：（1）应在施工现场的作业面、料场、出入口、仓库、围墙和塔吊等重点部位安装监控点，监控部位应无监控盲区；（2）在需要监控固定场景(如出入口、仓库等)的位置，宜安装固定式枪机；（3）在需要监控大范围场景(如作业面、料场等)的位置，宜安装匀速球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3.1.3.2 按照《建筑塔式起重机安全监控系统应用技术规程》（JGJ 332-2014）要求，安装的塔机安全监控系统应具有对塔机的起重量、起重力矩、起升高度、幅度、回转角度、运行行程信息进行实时监视和数据存储功能。当塔机有运行危险趋势时，塔机控制回路电源应能自动切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3.1.3.3 列入《安装安全监控管理系统的大型起重机械目录》（质检办特联〔2015〕192号）的建设工程施工现场大型起重机械应安装安全监控管理系统。依照《起重机械安全监控管理系统》（GB/T28264-2017），采集起重量限制器、起升高度限制器等相关参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3.1.3.4 建设项目的危大工程按照《危险性较大的分部分项工程安全管理规定》（住房和城乡建设部令第37号发布，住房和城乡建设部令第47号修正）要求在危大工程施工前组织工程技术人员编制专项施工方案，专项施工方案应当由施工单位技术负责人审核签字、加盖单位公章，并由总监理工程师审查签字、加盖执业印章后方可实施。对于超过一定规模的危大工程，施工单位应当组织召开专家论证会对专项施工方案进行论证。施工单位应当在施工现场显著位置公告危大工程名称、施工时间和具体责任人员，并在危险区域设置安全警示标志。施工单位应当严格按照专项施工方案组织施工，不得擅自修改专项施工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 人员密集区域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3.2.1 人员密集场所安全风险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3.2.1.1 人员密集场所依据《人员密集场所消防安全评估导则》（GA/T 1369-2016）开展安全风险评估工作，编制评估报告，评估单元应包括消防安全管理单元、建筑防火单元、安全疏散设施单元和消防设施单元，并根据现场检查及评估判定的情况给出评估结论等级。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3.2.1.2 人员密集场所安装视频监控系统，建立大客流监测预警和应急管控制度。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3.2.1.3 特种设备使用单位向负责特种设备安全监督管理的部门办理使用登记，取得使用登记证书。登记标志应当置于该特种设备的显著位置。电梯的维护保养单位应当在维护保养中严格执行安全技术规范的要求，保证其维护保养的电梯的安全性能。特种设备使用单位应当按照安全技术规范的要求及时进行安全性能检验，未经定期检验或者检验不合格的特种设备，不得继续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3.2.1.4 城市各级道路、居住区和企事业单位内部道路宜设置成环状，减少尽端路。人员密集场所消防车通道应符合下列规定：（1）消防车通道之间的中心线间距不宜大于160m；（2）环形消防车通道至少应有两处与其他车道连通，尽端式消防车通道应设置回车道或回车场地；（3）消防车通道的净宽度和净空高度均不应小于4m，与建筑外墙的距离宜大于5m；（4）消防车通道的坡度不宜大于8%，转弯半径应符合消防车的通行要求。举高消防车停靠和作业场地坡度不宜大于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3.2.1.5 人员密集场所的安全出口、疏散通道、消防设施（火灾自动报警系统、自动灭火系统、防排烟系统、防火卷帘、防火门）应符合《建筑设计防火规范》（GB 50016-2014）、《火灾自动报警系统设计规范》（GB 50116-2013）、《自动喷水灭火设计规范》（GB 50084-2017）、《建筑防烟排烟系统技术标准》（GB 51251-2017）等要求。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3.2.2 大型群众性活动安全风险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3.2.2.1 举办大型群众性活动，承办者应当制订大型群众性活动安全工作方案，明确活动场所可容纳的人员数量以及活动预计参加人数，提出现场秩序维护、人员疏导的措施，包括在大型群众性活动中使用大客流监测预警技术手段，针对大客流采取区域护栏隔离、人员调度、限流等应急管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3.2.2.2 对大型群众性活动的安全风险进行风险评估，并编制风险评估报告。风险评估工作必须坚持系统性工作原则，尽可能运用系统分析方法，统筹考虑活动参与各方服务工作流程、环节以及各种类型风险。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3.2.3 高层建筑、“九小”场所安全风险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3.2.3.1 高层公共建筑的业主、使用人、受委托的物业服务企业或者消防技术服务机构等专业服务单位应当明确专人担任消防安全经理人，负责整栋建筑的消防安全管理工作。消防安全经理人应当具备相应的消防安全知识和管理能力。每栋高层住宅建筑应当明确一名消防安全楼长，由业主委员会委员、业主代表、物业服务企业的管理人员或者基层消防安全网格管理人员担任，履行相应的消防安全管理职责。消防安全经理人和楼长应保障消防设施、器材以及消防安全标志完好有效。高层建筑设置明显的消防安全警示标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3.2.3.2 高层公共建筑、高层住宅建筑电梯使用单位应当向负责特种设备安全监督管理的部门办理使用登记，取得使用登记证书。登记标志应当置于该特种设备的显著位置。特种设备使用单位应当按照安全技术规范的要求及时向特种设备检验机构提出定期检验要求进行安全性能检验，未经定期检验或者检验不合格的特种设备，不得继续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3.2.3.3 消防安全重点单位要利用消防安全“户籍化”管理系统、单位内部管理系统、视频监控系统等信息化手段，严格消防安全主体责任落实，明确消防安全责任人、管理人及其职责，加强防火巡查检查，严格用火用电用油用气管理，组织开展消防安全培训和疏散演练，提升消防安全管理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3.2.3.4 开展小商店、小餐饮场所、小旅馆、小歌舞娱乐场所、小美容洗浴场所、小学校、小医院、小生产加工企业、小仓库等“九小场所”隐患排查，整治“九小”场所突出风险隐患；集中整治群租房、施工现场、电动车等三类消防突出问题，严格落实群租房防火分隔、违规住宿清理、夜间值守、电动车清理等防范措施。推动各地开展畅通“生命通道”专项治理，并作为民生工程、实事工程督办整改，切实保障人民群众生命财产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3.2.3.5 餐饮场所按照《城镇燃气设计规范（2017修订版）》(GB 50028-2006)要求安装可燃气体浓度报警装置。在下列场所应设置燃气浓度检测报警器：（1）建筑物内专用的封闭式燃气调压、计量间；（2）地下室、半地下室和地上密闭的用气房间；（3）燃气管道竖井；（4）地下室、半地下室引入管穿墙处；（5）有燃气管道的管道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燃气浓度检测报警器的设置应符合下列要求：（1）当检测比空气轻的燃气时，检测报警器与燃具或阀门的水平距离不得大于8m，安装高度应距顶棚0.3m以内，且不得设在燃具上方。（2）当检测比空气重的燃气时，检测报警器与燃具或阀门的水平距离不得大于4m，安装高度应距地面0.3m以内。（3）燃气浓度检测报警器的报警浓度应按行业标准《家用燃气报警器及传感器》(CJ/T 347-2010)的规定确定。（4）燃气浓度检测报警器宜与防爆排风扇等排气设备连锁。（5）燃气浓度检测报警器宜集中管理监视。（6）报警器系统应有备用电源。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3.2.3.6 深入排查本地区各类游乐场所和游乐设施安全风险和事故隐患，对排查出的各类事故隐患，要制定整改方案，明确整改责任单位和责任人，抓好各项安全防范措施落实。要组织各有关部门分析研判游乐场所的安全形势和特点，按照职责分工抓好安全监管。要加强地区和部门间协同配合、联防联动，组织开展联合执法检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 公共设施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3.3.1 城市生命线安全风险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3.3.1.1 供电管网按相关规定安装电压、频率监测监控设备，供水、供热管网按相关规定安装压力、流量监测监控设备。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3.3.1.2 重要燃气厂站和管网按相关规定安装视频监控、燃气泄漏报警、压力、流量监控设备。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3.3.1.3 开展城市地下管线普查，在普查的基础上，建立地下管线综合管理信息系统，满足城市规划、建设、运行和应急等工作需要。充分利用信息资源，做好工程规划、施工建设、运营维护、应急防灾、公共服务等工作，建设工程规划和施工许可管理必须以综合管理信息系统为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3.3.1.4 定期排查地下管线存在的隐患，制定工作计划，限期消除隐患。建立地下管线风险管控措施。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3.3.1.5 依据《关于推进电梯应急处置服务平台建设的指导意见》（国质检特〔2014〕433号）建设城市电梯应急处置服务平台，电梯应急处置服务平台应具备以下功能：（1）发挥应急协调指挥功能。接到乘客困梯电话后，指挥并监督电梯的签约维保单位按照电梯应急救援响应程序和时限要求实施救援；对维保单位不能及时救援的，协调就近的其他电梯维保单位或消防等救援力量，实施安全、快速、科学的救援，最大程度缩短乘客困梯时间。（2）发挥咨询服务功能。接受群众有关电梯安全的咨询、投诉和举报，解答和协调解决群众使用电梯中的安全问题，对电梯维保、消防等救援力量进行电梯应急救援培训和技术指导等。（3）发挥风险监控功能。按时统计和分析电梯困人等故障数据，开展风险监测，及时发布预警信息，实施分类监管，实现电梯安全的动态监管和科学监管。（4）发挥社会监督功能。定期向社会公布电梯安全状况的信息，向当地政府和相关部门提出电梯安全管理工作的建议，发挥社会监督作用，促进电梯使用、维保单位落实安全主体责任，推动多部门综合监管机制形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3.3.1.6 城市用户上一年度平均停电时间应低于该年度全国城市用户平均停电时间。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3.3.1.7 开展地下工程施工影响区域、老旧管网集中区域、地下人防工程影响区域主要道路塌陷隐患排查，按照计划完成整改。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3.3.2 城市交通安全风险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3.3.2.1 依据《城市公共汽车和电车客运管理规定》（交通运输部令 2017年第5号），城市公共交通主管部门应当会同有关部门制定城市公共汽电车客运突发事件应急预案，报城市人民政府批准。运营企业应当根据城市公共汽电车客运突发事件应急预案，制定本企业的应急预案，并定期演练。建立公交驾驶员生理、心理健康监测机制，定期开展评估。加强对公交运输企业的监督检查，督促公交运输企业加强内部管理和驾驶员身心健康管理，健全驾驶员日常教育培训制度，以应对处置乘客干扰行车为重点，开展心理和行为干预培训演练，规范驾驶员安全驾驶行为，切实提高驾驶员安全应对处置突发情况的技能素质。新增公交车驾驶区域安装安全防护隔离设施，按照《城市公共汽电车车辆专用安全设施技术要求》(JT/T 1240-2019)，防护设施后围上部空隙高度应不大于300mm,侧围上沿最低点距离乘客区通道底板高度应不小于1600mm,侧围前端应在驾驶员遇乘客威胁、袭击或抢夺方向盘等事件时起到防护作用；防护隔离设施护围门开启方向应向外打开，门轴宜设在驾驶员后侧。护围门内侧应有锁止装置，驾驶员突遇身体不适等紧急情况应能从外部打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3.3.2.2 完善“两客一危”车辆制造标准，提高安全性能，强制安装智能视频监控报警、防碰撞和整车安全运行监管技术装备，对已运行的要加快安全技术装备改造升级。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依据《道路运输车辆智能视频监控报警装置技术规范》（交办运〔2018〕115号），在道路客货运领域推广应用智能视频监控报警技术，通过自动识别和实时提醒纠正驾驶员不安全驾驶行为，培养驾驶技能和安全意识“双过硬”的驾驶员。道路运输企业在既有“两客一危”车辆、农村客运车辆、重型营运货车（总质量12吨及以上）上安装智能视频监控报警装置，新进入道路运输市场的“两客一危”车辆应前装智能视频监控报警装置及GPS定位装置，实现对驾驶车辆运行轨迹和驾驶员不安全驾驶行为的自动识别和实时报警。利用智能视频监控报警装置，加强驾驶员驾驶行为等道路运输安全生产事中管控，监督驾驶员规范操作行为，重点对驾驶员疲劳驾驶、行车接打电话等不安全驾驶行为进行预警和提醒，及时消除安全隐患，确保行车安全。智能视频监控报警装置对驾驶员驾驶行为监测功能包括：（1）疲劳驾驶报警；（2）接打手持电话报警；（3）长时间不目视前方报警；（4）驾驶员不在驾驶位置报警；（5）抽烟报警；双手同时脱离方向盘报警（选配）。车辆运行监测功能（选配）包括：（1）前方车辆防碰撞报警；（2）车道偏离报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3.3.2.3 按照《城市轨道交通安全预评价细则》（AQ 8004-2007）、《城市轨道交通试运营前安全评价规范》（AQ 8007-2013）、《城市轨道交通安全验收评价细则》（AQ 8005-2007）等要求在城市轨道交通工程可行性研究、试运营前、验收阶段进行安全评价。按照《城市轨道交通初期运营前安全评估技术规范 第1部分：地铁和轻轨》（交办运〔2019〕17号）要求开展初期运营前安全评估和车站紧急疏散能力评估，按照《城市轨道交通正式运营前安全评估规范 第1部分：地铁和轻轨》（交办运〔2019〕83号）和《城市轨道交通运营期间安全评估规范》（交办运〔2019〕84号）要求开展正式运营前和运营期间安全评估，按照《火灾高危单位消防安全评估导则（试行）》（公消〔2013〕60号）要求开展城市轨道交通消防设施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3.3.2.4 依据《内河渡口渡船安全管理规定》（交通运输部令 2014年第9号）要求，渡口与危险物品生产、堆放场所之间的距离应符合危险品管理相关规定；具备货物装卸、旅客上下的安全设施；配备必要的救生设备和专门管理人员。渡口应合理设置码头、引道，配置必要的指示标志、船岸通讯和船舶助航、消防、安全救生等设施。渡口运营人应当在渡口明显位置设置公告牌，标明渡口名称、渡口区域、渡运路线、渡口守则、渡运安全注意事项以及安全责任单位和责任人、监督电话等内容。梯级河段、库区下游以及水位变化较大的渡口水域，渡口应当标识警戒水位线和停航封渡水位线。内河渡口渡船应当定期维护保养，确保处于适航状态，并按期申请检验，应当按照规定配备消防救生设备，放置在易取处，保持其随时可用，并在规定的场所明显标识存放位置，张贴消防救生演示图和标示应急通道。渡船船员应当按照相关规定具备船员资格，持有相应船员证书。渡船应当悬挂符合国家规定的渡船识别标志，并在明显位置标明载客（车）定额、抗风等级以及乘船安全须知等有关安全注意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3.3.2.5 依据《铁路道口管理暂行规定》（经交〔1986〕161号）要求，在道口处的道路上设有铁路道口标志和护桩。铁路道口标志设在通向道口、距道口最外股钢轨不少于二十米处的道路右侧（特殊情况除外），护桩设在道口附近（路堑内及城市市区可不设）。根据需要还可在通向道口、距道口最外股钢轨五米处的道路右侧设置道口信号机；未设道口信号机的无人看守道口，可在安设道口信号机的位置设置停车（止步）让行标志。有人看守道口还要设置带有标志（标志为红色圆牌、有条件的地方夜间可安设红灯）的栏杆（或栏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3.3.2.6 高速铁路沿线市、县和铁路有关单位要建立“双段长”责任制，沿高速铁路线路（城区内每1公里、城区外每5公里）设铁路运营单位和地方街道（乡镇）相关负责人各1名作为段长，公布“双段长”人员名单，明确“双段长”巡查、会商、处置及上报信息等工作职责，建立人员随工作岗位动态调整制度；建立“双段长”教育管理制度，督促、指导“双段长”认真履行职责，并定期对“双段长”工作情况进行检查和考核。定期组织开展铁路外部环境问题整治专项行动，落实铁路两侧100米控制区范围内秩序管控措施，加强铁路两侧500米可视区范围内环境卫生整治，按计划完成铁路外部环境安全管控通报问题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3.3.3 桥梁隧道、老旧房屋建筑安全风险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3.3.3.1 城市桥梁必须按规定进行检测评估，及时掌握桥梁的基本状况，并采取相应的养护措施。检测评估应根据其内容、周期、评估要求分为经常性检查、定期检测、特殊检测。城市桥梁的检测评估工作应包括下列内容：（1）了解桥梁初始状态，记录桥梁当前状况；（2）了解车辆和交通量的改变给设施运行带来的影响；（3）跟踪结构和材料的使用性能变化；（4）为桥梁状况评估提供相关信息，对桥梁当前及未来的交通量、荷载等级、承载能力及耐久性进行评估；（5）给养护、管理、设计与建设等部门反馈信息，提供养护维修建议。公路隧道技术状况评定应包括隧道土建结构、机电设施、其他工程设施技术状况评定和总体技术状况评定。公路隧道技术状况评定应采取分层综合评定与隧道单项控制指标相结合的方法，先对隧道各检测项目进行评定，然后对隧道土建结构、机电设施和其他工程设施分别进行评定，最后进行隧道总体技术状况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3.3.3.2 桥梁、隧道安全隐患应按计划和整改方案完成整改。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3.3.3.3 开展城市老旧房屋安全隐患排查工作，并按计划完成隐患整改。对排查出的老旧房屋情况进行分类，对疑似老旧房屋要及时通知房屋产权人或使用人进行相关评估鉴定，根据鉴定结果和处理建议督促房屋产权人及时进行解危处置，消除安全隐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3.3.3.4开展户外广告牌、灯箱隐患排查，拆除违法违规、具有重大安全隐患的户外广告招牌、灯箱，按计划完成隐患整改。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 自然灾害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3.4.1 气象、洪涝灾害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3.4.1.1 水文机构加强水资源的动态监测工作，对可能发生或者正在发生的汛情进行实时动态监测，及时发布监测预警信号，保障防汛抗洪工作的有效性和可靠性。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3.4.1.2 加强灾害性天气过程预报预警，强化气象与自然资源、水利等部门的联系，密切监视天气变化和雨水汛情灾情；如遇台风、强对流、强降雨等极端灾害天气，需加密监测频次，及时会商分析研判，滚动预报预警；充分利用广播、电视、网站、公共电子显示屏、移动和固定通信等方式及时向社会发布预警信息，要建立重大气象灾害预警信息紧急快速发布的“绿色通道”，预警信息公众覆盖率达90%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3.4.1.3 编制洪水风险图，基本洪水风险图应包含基础地理信息、水利工程信息、洪水风险要素及其他相关信息，其中基础地理信息包括行政区界、居民地、主要河流、湖泊、主要交通道路、桥梁、医院、学校以及供水、供气、输变电等基础设施等。水利工程信息包括水文测站、水库、堤防、跨河工程、水闸、泵站等工程信息。洪水风险要素包括淹没范围、淹没水深、洪水流速、到达时间、淹没历时、洪水损失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3.4.1.4 加强对城市排水防涝设施建设和运行状况的监管，在汛期应开展城市洪水、内涝风险隐患排查整治，及时清疏堵塞的排水管网，确保排水能力；加强泵站、闸门等设施的汛前维护，确保安全、正常运转；疏浚具有排涝功能的城市河道，保障雨水行泄通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3.4.1.5 各类建（构）筑物、场所和设施安装雷电防护装置应当符合国家有关防雷标准的规定。新建、改建、扩建建（构）筑物、场所和设施的雷电防护装置应当与主体工程同时设计、同时施工、同时投入使用。建筑物防雷检测的时间间隔为：第一类防雷建筑物系统检测间隔时间为6个月；第二类、第三类防雷建筑物系统检测间隔时间为12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3.4.2 地震、地质灾害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3.4.2.1 开展区域（城市）活动断层探测，编制设计方案和实施方案，形成城市活动断层分布图。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3.4.2.2 开展老旧房屋抗震风险排查、鉴定和加固工作，开展摸底排查工作，逐步解决部分老旧房屋抗震隐患。加快实施地震易发区房屋设施和老旧房屋加固工程，有计划分步骤对危房进行人员紧急搬迁或采取抗震加固措施，提升城市房屋抗震防灾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3.4.2.3 依据《中国地震动参数区划图》（GB 18306-2015）和《建筑抗震设计规范》（GB50011-2010）（2016版）附录A 我国各县级及县级以上城镇地区建筑工程抗震设计时所采用的抗震设防烈度、设计基本地震加速度和设计地震分组，抗震设防烈度为6度以上地区的建筑，必须进行抗震设计。新建、改建学校、医院等人员密集场所的建设工程，按照《建筑工程抗震设防分类标准》（GB 50223-2008）规定进行抗震设防设计和施工。其他新建、改建、扩建工程也应达到抗震设防要求。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3.4.2.4 结合全国自然灾害综合风险普查，编制地质灾害防治规划，拟订年度地质灾害防治方案，报本级人民政府批准后公布。年度地质灾害防治方案包括下列内容：(1)主要灾害点的分布；(2)地质灾害的威胁对象、范围；(3)重点防范期；(4)地质灾害防治措施；(5)地质灾害的监测、预防责任人。按照防治方案对地质灾害隐患点进行搬迁重建、工程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3.4.2.5 对出现地质灾害前兆、可能造成人员伤亡或者重大财产损失的区域和地段，政府应当及时划定为地质灾害危险区，予以公告，并在地质灾害危险区的边界设置明显警示标志，并且向受威胁的群众发放地质灾害防灾工作明白卡、地质灾害防灾避险明白卡和地质灾害危险点防御预案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3.4.2.6 对全市受威胁人数超过100人的地质灾害隐患点采取自动监测技术，实现“人防+技防”监测模式，提升科学防灾水平。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3.4.2.7 矿产资源型城市完成塌（沉）陷区治理。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 城市安全监督管理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4.1 城市安全责任体系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4.1.1 城市各级党委和政府的城市安全领导责任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4.1.1.1 各地要建立国家安全发展示范城市创建工作的组织领导机制，推动相关部门各司其职，强化人力、物力、财力等各项保障措施，协调解决创建工作中的重大问题。市级政府及时召开政府常务会议或专题会议，研究部署城市安全工作，将城市安全的重大工作、重大问题提请党委常委会研究。市级党委每年定期组织研究城市安全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4.1.1.2 各级领导班子分工体现安全生产“一岗双责”，将“一岗双责”制度执行情况作为业绩评定、奖励惩处的重要依据。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4.1.2 各级各部门城市安全监管责任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4.1.2.1 按照“管行业必须管安全、管业务必须管安全、管生产经营必须管安全”和“谁主管谁负责”原则，厘清安全生产综合监管与行业监管的关系，制修订安委会各成员单位安全生产工作职责（任务）分工相关文件，并在安委会成员单位“三定”规定中明确其安全生产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4.1.2.2 市级以上开发区、工业园区、国家4A级以上旅游景区、港区等各功能区明确负责安全生产监督管理的机构。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 城市安全风险评估与管控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4.2.1 城市风险辨识评估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4.2.1.1 开展城市安全风险辨识与评估工作，编制更新城市风险评估报告，内容涵盖城市工业企业、城市公共设施、人员密集区域、自然灾害风险等方面。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4.2.1.2 建立城市安全风险管理信息平台，直观展示城市各类风险四色分布规律，呈现动态安全风险信息，风险清单应涵盖危险要素、风险等级、管控措施、责任单位等基本信息，按照风险数量、等级和危险因素等维度进行统计分析。充分体现风险源的种类、数量，以及风险分布的重点行业、重点区域、重点场所和部位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4.2.1.3 推动风险监测系统建设，统筹开展高危行业企业、人员密集区域、城市生命线、城市交通和城市自然灾害等领域风险监测感知网络建设，实现安全风险实时监测和智能防灾预警“一张图”。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4.2.1.4 对市级及以上开发区、工业园区，国家4A级以上旅游景区和港区等功能区进行安全风险评估。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4.2.2 城市安全风险管控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4.2.2.1 建立横向联动、纵向衔接的重大风险联防联控机制，有效应对城市重大风险。位置相邻、行业相近、业态相似的地区和行业要建立完善跨行业、跨部门、跨地区的重大安全风险联防联控机制；通过建立联席会议制度、制定应急联动预案、建立区域通信联络和应急响应机制、定期开展安全互查和跨区域应急调度、联合应急处置演练等方式，推动实现地区、行业间的资源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4.2.2.2 编制城市风险清单，明确风险清单对应的风险管控责任部门和管控措施。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4.2.2.3 危险化学品生产、仓储经营、装卸、储存企业，煤矿、非煤矿山、交通运输、建筑施工企业，规模以上冶金、有色、建材、机械、轻工、纺织、烟草等企业安全生产标准化达标。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 城市安全监管执法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4.3.1 城市安全监管执法规范化、标准化、信息化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4.3.1.1 住房城乡建设、交通运输、应急、市场监管等负有安全监管职责的部门按“三定”规定，配备安全监管人员和装备。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4.3.1.2 住房城乡建设、交通运输、应急、市场监管等负有安全监管职责的部门执法人员配备移动执法快检设备、移动执法终端、执法记录仪等信息化执法设备。信息化执法率大于等于90%。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4.3.1.3 住房城乡建设、交通运输、应急、市场监管等部门上年度执法检查记录中，行政处罚次数占开展监督检查总次数比例大于等于5%。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4.3.2 城市安全公众参与机制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4.3.2.1 利用互联网、手机APP、微信公众号等建立城市安全生产、自然灾害等重点安全问题公众参与、快速应答、处置、奖励机制。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4.3.2.2 建立城市安全问题举报投诉相关制度，设置城市安全举报平台，城市安全问题举报投诉办结率100%。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4.3.3 典型事故教训吸取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4.3.3.1 按照国务院安委会或安委会办公室通报（通知）或国务院相关部门部署，结合地方实际情况，开展相关隐患排查活动。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4.3.3.2 生产安全事故调查报告应按要求在政府网站等平台向社会公开，确保整改防范措施有效落实。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 城市安全保障能力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5.1 城市安全科技创新应用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5.1.1 安全科技成果、技术和产品的推广使用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5.1.1.1 政府有关部门、企事业单位科研成果、技术和产品获得中国职业安全健康协会科学技术奖、中国安全生产协会安全科技进步奖、华夏建设科学技术奖、中国地震局防震减灾科技成果奖；入选安全生产重特大事故防治关键技术科技项目，交通运输重大科技创新成果库等省部级科技创新成果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5.1.1.2 在矿山、尾矿库、交通运输、危险化学品、建筑施工、重大基础设施、城市公共安全、气象、水利、地震、地质、消防等行业领域推广应用先进安全技术和产品或者建立城市安全领域省部级科技创新成果应用示范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5.1.2 淘汰落后生产工艺、技术和装备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引导辖区企业淘汰落后生产工艺和技术，淘汰落后生产工艺和技术参考目录涉及行业企业要全部改造完毕。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 社会化服务体系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5.2.1 城市安全专业技术服务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5.2.1.1 制定政府购买安全生产服务指导目录，规范政府行政行为，发挥市场机制作用，促进当地相关企业发展，更好地满足新形势下安全生产服务多样化、个性化、专业化需求，同时有效发挥财政资金的杠杆作用，吸引更多的社会力量参与城市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5.2.1.2 贯彻落实《安全评价检测检验机构管理办法》（应急管理部令 2019年第1号），定期对辖区内注册或开展法定安全评价、检测服务的专业机构进行专项检查、执法检查，并对问题进行通报整改。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5.2.1.3 对标准化评审、园区风险评估、重大危险源评估、风险分级管控体系和隐患排查治理体系建设等领域的专业技术服务机构，有专门的管理办法，并通过失信联合惩戒、“黑名单”管理措施，加强事中事后监管。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5.2.2 城市安全领域失信惩戒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5.2.2.1 安全生产、消防、住房城乡建设、交通运输、特种设备等行业领域要建立健全“黑名单”或联合惩戒制度。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5.2.2.2 建立健全失信联合惩戒对象管理台账，行业主管部门定期向其他相关部门推送需要进行联合惩戒的失信生产经营单位信息。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5.2.3 城市社区安全网格化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5.2.3.1 合理划分网格，将全市所有社区纳入安全网格化管理体系，建立健全安全网格化管理工作机制和信息管理平台。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5.2.3.2 给社区安全网格配备相应的网格员，制定网格员管理办法，明确工作流程和考核办法，定期开展安全教育培训，确保网格员按时到岗。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5.2.3.3 对于网格员发现上报的隐患及相关问题，要及时将任务派发相关部门进行处理，实时跟踪处理进度情况（或相关部门要将处理情况及时反馈），形成闭环管理。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 城市安全文化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5.3.1 城市安全文化创建活动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5.3.1.1 广场、公园、商场、机场车站码头、地铁公交航班等公共场所和公共出行工具，相关电子显示屏、橱窗、宣传栏等位置设置安全宣传公益广告和提示信息。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5.3.1.2 上一年度市级广播电视开展新闻报道、公益广告、安全提示条数在60条以上（含60条）；应急管理部政府网站、中国应急信息网和部“两微”等新媒体平台刊发本市推荐报送的安全公益宣传产品在10条以上（含10条）。市级网站、新媒体平台每年开展安全公益宣传条数在60条以上（含60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5.3.1.3城市社区开展安全文化创建，相关节庆、联欢等活动体现安全宣传内容，相关安全元素和安全标识等融入社区。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5.3.2 城市安全文化教育体验基地或场馆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5.3.2.1 建设至少一处具有城市特色的安全文化教育体验基地或场馆。基地或场馆功能包含地震、消防、交通、居家安全等安全教育内容并正常运营。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5.3.2.2 基地或场馆承接公共安全主题系列活动，设置不同体验场景主题，开展互动性、针对性的体验式安全教育，营造良好安全氛围，提升全民安全素养和风险应对自救能力。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5.3.3 城市安全知识宣传教育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5.3.3.1 市级政府或有关部门组织开展安全生产、防灾减灾救灾、应急救援、职业健康、爱路护路宣传教育“进企业、进农村、进社区、进学校、进家庭”活动。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5.3.3.2 建立梯次培训网络、组织领导干部轮训、强化普法教育，中小学组织开展消防、交通等生活安全以及自然灾害应急避险安全教育活动，定期开展消防逃生、地震等灾害应急避险演练和交通安全体验活动，提升市民的安全保护意识和自救互救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5.3.4 市民安全意识和安全满意度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5.3.4.1 坚持人民至上、生命至上，强化红线意识，坚守底线思维。通过固化制度，长抓不懈，提高市民安全意识，推动市民安全行为自觉。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5.3.4.2 市民对用电安全、用气安全、危险化学品安全、消防安全、应急救护、应急避险等，以及居家、户外、公共场所、自然灾害安全知识知晓率高，安全意识强。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 城市安全应急救援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 城市应急救援体系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6.1.1 城市应急管理综合应用平台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6.1.1.1 建设并使用应急管理综合信息平台，平台可依托省级应急管理综合信息平台建设或使用。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6.1.1.2 市级应急管理综合信息平台应在功能上体现监管监察、监测预警、应急指挥、辅助决策、政务管理五大相关功能模块。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6.1.1.3 市级应急管理综合信息平台应与省级应急管理综合信息平台互联互通。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6.1.1.4 市级应急管理综合信息平台应与市场监管、环境保护、治安防控、消防安全、道路交通、信用管理等多部门（机构）之间实现数据共享。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6.1.1.5 建设城市安全管理应用平台，整合城市应急、规划、交通、公安、水务、城管、气象等各部门业务信息和实时数据，实现信息化实时感知、智能化快速预警、自动化及时处置。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6.1.2 应急信息报告制度和多部门协同响应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6.1.2.1 依据国家有关规定建立应急信息报告制度。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6.1.2.2 应急信息报告制度应明确报告责任主体、报送信息时限和程序、报告事项及内容，应急值守相关部门人员应按照制度要求在规定时限内报送事故灾害信息。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6.1.2.3 制定的应急工作相关机制文件中，应明确统一指挥和多部门协同响应处置机制工作内容，或另行制定统一指挥和多部门协同响应处置机制及其配套文件。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6.1.3 应急预案体系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6.1.3.1 重视政府及其部门总体应急预案、专项应急预案、部门应急预案的制定工作，定期开展演练，并对预案进行评估修订，提升预案质量。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6.1.3.2 结合本地突发事件风险实际，编制市级政府及有关部门火灾、道路交通、危险化学品、燃气事故应急预案，编制地震、防汛防台风、洪涝、突发地质灾害应急预案，编制大面积停电、人员密集场所突发事件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6.1.3.3 基层（街道）预案中信息上报、处置联动等内容要与上级政府总体预案、专项预案、部门预案有效衔接。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6.1.3.4 按预案要求，采取桌面推演、实战演练等形式，定期开展安全生产、消防救援、抗震救灾、地质灾害、防汛防台风等2项以上应急演练。每次演练应事前有方案、事中有记录、事后有评估。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6.1.3.5 组织专家开展城市应急准备能力评估工作，并形成城市应急准备能力评估报告，报告中应包括应急组织体系、应急救援队伍、应急救援信息系统、应急物资装备、疏散通道与安置等内容。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6.1.4 应急物资储备调用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6.1.4.1 编制应急物资储备规划和年度应急物资需求计划报告。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6.1.4.2 建立应急物资储备信息管理系统，实现应急储备物资的存放地点、品类、数量等信息的上报、查询和汇总等功能。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6.1.4.3 相关部门应与企业签订应急物资供应、生产协议，合同中应明确反映出企业在应急物资供应、生产工作中的实际支撑作用。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6.1.4.4 加强应急物资库的管理工作，对库中储备物资进行登记造册并建立台账，台账中明确应急物资库名称、地址、主要存储物资类型、库中各品类物资数量、规格型号、储备时间、储备期限等内容。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6.1.4.5 完善重要应急物资生产、采购、储存、调拨和紧急配送机制，健全实物储备和产能储备、政府储备和企业商业储备相结合、军民融合的应急物资储备体系。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6.1.5 城市应急避难场所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6.1.5.1 制作全市应急避难场所分布图或应急避难场所分布表，标志避难场所的具体地点，并向社会公开，公开信息内容应涵盖场所名称、位置、分布、类型及功能等信息。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6.1.5.2 避难场所分布图应清晰标注场所位置信息，并附图例；分布表中需体现场所位置、占地面积，容纳人口数量等基本信息。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6.1.5.3 市级应急避难场所设置应急避难场所标志且基本设施齐全。基本设施应包括应急避难休息区、应急医疗救护区、应急物资分发区、应急管理区、应急厕所、应急垃圾收集区、应急供电区、应急供水区等。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6.1.5.4 避难场所人均面积应大于1.5平方米。计算公式：避难场所人均面积=避难场所总面积/辖区常住人口数×70%。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 城市应急救援队伍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6.2.1 综合性消防救援队伍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6.2.1.1 出台消防救援队伍社会保障机制意见相关文件，明确消防救援人员优先政策、职业荣誉保障、生活待遇保障、社会优待保障等内容。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6.2.1.2 国家综合性消防救援队伍的执勤人数应符合标准要求。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6.2.2 城市专业化应急救援队伍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6.2.2.1 组织编制专业应急救援队伍建设规划，规划中应明确队伍建设现状、队伍需求、建设计划和机制保障等内容。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6.2.2.2 按照《国务院办公厅关于加强基层应急队伍建设的意见》（国办发〔2009〕59号）要求，建立防汛抗旱队伍、森林草原消防队伍、气象灾害应急队伍、地震和地质灾害应急队伍、矿山应急救援队伍、危险化学品应急救援队伍、公用事业保障应急队伍等专业应急救援队伍。加快地震（地质）、水域、空勤、隧道和工程抢险等关键力量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6.2.2.3 各专业应急救援队伍应积极开展培训和联合演练活动，以训代练、以练促训。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6.2.3 社会应急力量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6.2.3.1 政府购买安全生产服务指导目录中应明确要求，将社会应急力量参与救援纳入政府购买服务范围，明确购买服务的项目、内容和标准，支持社会力量参与应急救援工作。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6.2.3.2 出台支持引导大型企业、工业园区和其他社会力量参与应急工作的相关文件，支持引导政策中应明确基本原则、重点范围、主要任务和工作要求等内容。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6.2.3.3 完善社会应急力量登记审查、调用补偿、保险保障等制度，引导健康发展和有序参与应对突发事件。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6.2.4 企业应急救援队伍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6.2.4.1 易燃易爆物品、危险化学品等危险物品的生产、经营、储存、运输单位，矿山、金属冶炼、城市轨道交通运营、建筑施工单位，以及宾馆、商场、娱乐场所、旅游景区等人员密集场所经营单位，按照《生产安全事故应急条例》（国务院令第708号）要求建立应急救援队伍。小型企业或者微型企业等规模较小的生产经营单位，可以不建立应急救援队伍，但应当指定兼职的应急救援人员，而且可以与邻近的应急救援队伍签订应急救援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6.2.4.2 核电厂等大型核设施营运单位，大型火力、水力、新能源发电厂，民用机场，主要港口内符合建队条件的大型港口企业，生产、储存易燃易爆危化品的大型企业，酒类企业、钢铁冶金企业、烟草企业，轨道交通企业，其他火灾危险性较大、距离消防队较远的大型企业，按照《关于规范和加强企业专职消防队伍建设的指导意见》（公通字〔2016〕25号）要求建立专职消防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7 城市安全状况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7.1 城市安全事故指标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近三年亿元国内生产总值生产安全事故死亡人数逐年下降。近三年道路交通事故万车死亡人数逐年下降。近三年火灾十万人口死亡率逐年下降。近三年平均每百万人口因灾死亡率逐年下降。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8 鼓励项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8.1 城市安全管理体制、制度、手段、方式创新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8.1.1 城市安全管理体制、制度、手段、方式创新成果获得国家、省部级表彰。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8.1.2 在城市安全信息化监控平台、规划布局、风险管理、应急处置、安全文化体系等方面取得创新。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8.2 城市安全科技项目取得国家级奖项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行政区域内注册单位城市安全科技项目获得国家级奖项，包括：国家最高科学技术奖、国家自然科学奖、国家技术发明奖、国家科学技术进步奖、国际科学技术合作奖。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8.3 国家安全产业示范园区、全国综合减灾示范社区创建取得显著成绩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18" w:afterAutospacing="0" w:line="555" w:lineRule="atLeast"/>
        <w:ind w:left="0" w:right="0" w:firstLine="645"/>
        <w:rPr>
          <w:rFonts w:hint="default" w:ascii="Times New Roman" w:hAnsi="Times New Roman" w:cs="Times New Roman"/>
          <w:sz w:val="21"/>
          <w:szCs w:val="21"/>
        </w:rPr>
      </w:pPr>
      <w:r>
        <w:rPr>
          <w:rFonts w:hint="eastAsia" w:ascii="宋体" w:hAnsi="宋体" w:eastAsia="宋体" w:cs="宋体"/>
          <w:i w:val="0"/>
          <w:iCs w:val="0"/>
          <w:caps w:val="0"/>
          <w:color w:val="333333"/>
          <w:spacing w:val="0"/>
          <w:sz w:val="31"/>
          <w:szCs w:val="31"/>
          <w:bdr w:val="none" w:color="auto" w:sz="0" w:space="0"/>
        </w:rPr>
        <w:t>8.3.1 行政区域内具有国家安全产业示范园区。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0"/>
        <w:jc w:val="left"/>
        <w:rPr>
          <w:rFonts w:hint="default" w:ascii="Times New Roman" w:hAnsi="Times New Roman" w:cs="Times New Roman"/>
          <w:i w:val="0"/>
          <w:iCs w:val="0"/>
          <w:caps w:val="0"/>
          <w:color w:val="333333"/>
          <w:spacing w:val="0"/>
          <w:sz w:val="27"/>
          <w:szCs w:val="27"/>
        </w:rPr>
      </w:pPr>
      <w:r>
        <w:rPr>
          <w:rFonts w:hint="eastAsia" w:ascii="宋体" w:hAnsi="宋体" w:eastAsia="宋体" w:cs="宋体"/>
          <w:i w:val="0"/>
          <w:iCs w:val="0"/>
          <w:caps w:val="0"/>
          <w:color w:val="333333"/>
          <w:spacing w:val="0"/>
          <w:kern w:val="0"/>
          <w:sz w:val="31"/>
          <w:szCs w:val="31"/>
          <w:bdr w:val="none" w:color="auto" w:sz="0" w:space="0"/>
          <w:lang w:val="en-US" w:eastAsia="zh-CN" w:bidi="ar"/>
        </w:rPr>
        <w:t>8.3.2 行政区域内创建全国综合减灾示范社区数量较多、质量较高、具有较强的示范效应。</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657F3F57"/>
    <w:rsid w:val="657F3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2022-05-18T02:09:00Z</dcterms:created>
  <dc:creator>清风</dc:creator>
  <cp:lastModifiedBy>清风</cp:lastModifiedBy>
  <dcterms:modified xsi:type="dcterms:W3CDTF">2022-05-18T02:13:55Z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8EE5D2A2E24B43F8B562FCB07660BB41</vt:lpwstr>
  </property>
</Properties>
</file>